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FB167" w14:textId="0C5EDDB0" w:rsidR="00D95686" w:rsidRPr="00EB057F" w:rsidRDefault="00D95686" w:rsidP="00D95686">
      <w:pPr>
        <w:jc w:val="center"/>
        <w:rPr>
          <w:rFonts w:ascii="Arial" w:hAnsi="Arial" w:cs="Arial"/>
          <w:b/>
          <w:sz w:val="18"/>
          <w:szCs w:val="18"/>
        </w:rPr>
      </w:pPr>
      <w:r w:rsidRPr="00EB057F">
        <w:rPr>
          <w:rFonts w:ascii="Arial" w:hAnsi="Arial" w:cs="Arial"/>
          <w:b/>
          <w:sz w:val="18"/>
          <w:szCs w:val="18"/>
        </w:rPr>
        <w:t xml:space="preserve">FORMATO </w:t>
      </w:r>
      <w:r w:rsidR="00C2033B" w:rsidRPr="00EB057F">
        <w:rPr>
          <w:rFonts w:ascii="Arial" w:hAnsi="Arial" w:cs="Arial"/>
          <w:b/>
          <w:sz w:val="18"/>
          <w:szCs w:val="18"/>
        </w:rPr>
        <w:t xml:space="preserve">SUGERIDO DE </w:t>
      </w:r>
      <w:r w:rsidRPr="00EB057F">
        <w:rPr>
          <w:rFonts w:ascii="Arial" w:hAnsi="Arial" w:cs="Arial"/>
          <w:b/>
          <w:sz w:val="18"/>
          <w:szCs w:val="18"/>
        </w:rPr>
        <w:t>COTIZACI</w:t>
      </w:r>
      <w:r w:rsidR="00C2033B" w:rsidRPr="00EB057F">
        <w:rPr>
          <w:rFonts w:ascii="Arial" w:hAnsi="Arial" w:cs="Arial"/>
          <w:b/>
          <w:sz w:val="18"/>
          <w:szCs w:val="18"/>
        </w:rPr>
        <w:t>ÓN</w:t>
      </w:r>
      <w:r w:rsidR="000E63A1" w:rsidRPr="00EB057F">
        <w:rPr>
          <w:rFonts w:ascii="Arial" w:hAnsi="Arial" w:cs="Arial"/>
          <w:b/>
          <w:sz w:val="18"/>
          <w:szCs w:val="18"/>
        </w:rPr>
        <w:t xml:space="preserve"> / PROFORMA</w:t>
      </w:r>
    </w:p>
    <w:p w14:paraId="64327A1D" w14:textId="77777777" w:rsidR="00EE245E" w:rsidRPr="00EB057F" w:rsidRDefault="00EE245E" w:rsidP="00722BA2">
      <w:pPr>
        <w:pStyle w:val="Prrafodelista"/>
        <w:jc w:val="both"/>
        <w:rPr>
          <w:rFonts w:ascii="Arial" w:hAnsi="Arial" w:cs="Arial"/>
          <w:sz w:val="18"/>
          <w:szCs w:val="18"/>
        </w:rPr>
      </w:pPr>
    </w:p>
    <w:p w14:paraId="7F839228" w14:textId="77777777" w:rsidR="00722BA2" w:rsidRPr="00EB057F" w:rsidRDefault="00722BA2" w:rsidP="0093173E">
      <w:pPr>
        <w:pStyle w:val="Prrafodelista"/>
        <w:ind w:left="0"/>
        <w:jc w:val="both"/>
        <w:rPr>
          <w:rFonts w:ascii="Arial" w:hAnsi="Arial" w:cs="Arial"/>
          <w:i/>
          <w:color w:val="5B9BD5" w:themeColor="accent1"/>
          <w:sz w:val="18"/>
          <w:szCs w:val="18"/>
        </w:rPr>
      </w:pPr>
      <w:r w:rsidRPr="00EB057F">
        <w:rPr>
          <w:rFonts w:ascii="Arial" w:hAnsi="Arial" w:cs="Arial"/>
          <w:sz w:val="18"/>
          <w:szCs w:val="18"/>
        </w:rPr>
        <w:t xml:space="preserve">Nombre de la empresa: </w:t>
      </w:r>
      <w:r w:rsidRPr="00EB057F">
        <w:rPr>
          <w:rFonts w:ascii="Arial" w:hAnsi="Arial" w:cs="Arial"/>
          <w:i/>
          <w:color w:val="5B9BD5" w:themeColor="accent1"/>
          <w:sz w:val="18"/>
          <w:szCs w:val="18"/>
        </w:rPr>
        <w:t>(a llenar por el proveedor)</w:t>
      </w:r>
    </w:p>
    <w:p w14:paraId="758B10BF" w14:textId="77777777" w:rsidR="00722BA2" w:rsidRPr="00EB057F" w:rsidRDefault="00722BA2" w:rsidP="0093173E">
      <w:pPr>
        <w:pStyle w:val="Prrafodelista"/>
        <w:ind w:left="0"/>
        <w:jc w:val="both"/>
        <w:rPr>
          <w:rFonts w:ascii="Arial" w:hAnsi="Arial" w:cs="Arial"/>
          <w:i/>
          <w:sz w:val="18"/>
          <w:szCs w:val="18"/>
        </w:rPr>
      </w:pPr>
      <w:r w:rsidRPr="00EB057F">
        <w:rPr>
          <w:rFonts w:ascii="Arial" w:hAnsi="Arial" w:cs="Arial"/>
          <w:sz w:val="18"/>
          <w:szCs w:val="18"/>
        </w:rPr>
        <w:t xml:space="preserve">RUC: </w:t>
      </w:r>
      <w:r w:rsidRPr="00EB057F">
        <w:rPr>
          <w:rFonts w:ascii="Arial" w:hAnsi="Arial" w:cs="Arial"/>
          <w:i/>
          <w:color w:val="5B9BD5" w:themeColor="accent1"/>
          <w:sz w:val="18"/>
          <w:szCs w:val="18"/>
        </w:rPr>
        <w:t>(a llenar por el proveedor</w:t>
      </w:r>
      <w:r w:rsidRPr="00EB057F">
        <w:rPr>
          <w:rFonts w:ascii="Arial" w:hAnsi="Arial" w:cs="Arial"/>
          <w:i/>
          <w:sz w:val="18"/>
          <w:szCs w:val="18"/>
        </w:rPr>
        <w:t>)</w:t>
      </w:r>
    </w:p>
    <w:p w14:paraId="730E7847" w14:textId="77777777" w:rsidR="00722BA2" w:rsidRPr="00EB057F" w:rsidRDefault="00722BA2" w:rsidP="0093173E">
      <w:pPr>
        <w:pStyle w:val="Prrafodelista"/>
        <w:ind w:left="0"/>
        <w:jc w:val="both"/>
        <w:rPr>
          <w:rFonts w:ascii="Arial" w:hAnsi="Arial" w:cs="Arial"/>
          <w:i/>
          <w:color w:val="5B9BD5" w:themeColor="accent1"/>
          <w:sz w:val="18"/>
          <w:szCs w:val="18"/>
        </w:rPr>
      </w:pPr>
      <w:r w:rsidRPr="00EB057F">
        <w:rPr>
          <w:rFonts w:ascii="Arial" w:hAnsi="Arial" w:cs="Arial"/>
          <w:sz w:val="18"/>
          <w:szCs w:val="18"/>
        </w:rPr>
        <w:t xml:space="preserve">Fecha cotización: </w:t>
      </w:r>
      <w:r w:rsidRPr="00EB057F">
        <w:rPr>
          <w:rFonts w:ascii="Arial" w:hAnsi="Arial" w:cs="Arial"/>
          <w:i/>
          <w:color w:val="5B9BD5" w:themeColor="accent1"/>
          <w:sz w:val="18"/>
          <w:szCs w:val="18"/>
        </w:rPr>
        <w:t xml:space="preserve">(a llenar por el proveedor) </w:t>
      </w:r>
    </w:p>
    <w:p w14:paraId="0D29369B" w14:textId="77777777" w:rsidR="00722BA2" w:rsidRPr="00EB057F" w:rsidRDefault="00722BA2" w:rsidP="0093173E">
      <w:pPr>
        <w:pStyle w:val="Prrafodelista"/>
        <w:ind w:left="0"/>
        <w:jc w:val="both"/>
        <w:rPr>
          <w:rFonts w:ascii="Arial" w:hAnsi="Arial" w:cs="Arial"/>
          <w:sz w:val="18"/>
          <w:szCs w:val="18"/>
        </w:rPr>
      </w:pPr>
      <w:r w:rsidRPr="00EB057F">
        <w:rPr>
          <w:rFonts w:ascii="Arial" w:hAnsi="Arial" w:cs="Arial"/>
          <w:sz w:val="18"/>
          <w:szCs w:val="18"/>
        </w:rPr>
        <w:t xml:space="preserve">Plazo de entrega: </w:t>
      </w:r>
      <w:r w:rsidRPr="00EB057F">
        <w:rPr>
          <w:rFonts w:ascii="Arial" w:hAnsi="Arial" w:cs="Arial"/>
          <w:i/>
          <w:color w:val="5B9BD5" w:themeColor="accent1"/>
          <w:sz w:val="18"/>
          <w:szCs w:val="18"/>
        </w:rPr>
        <w:t>(a llenar por el proveedor)</w:t>
      </w:r>
    </w:p>
    <w:p w14:paraId="012080B3" w14:textId="77777777" w:rsidR="00722BA2" w:rsidRPr="00EB057F" w:rsidRDefault="00722BA2" w:rsidP="0093173E">
      <w:pPr>
        <w:pStyle w:val="Prrafodelista"/>
        <w:ind w:left="0"/>
        <w:jc w:val="both"/>
        <w:rPr>
          <w:rFonts w:ascii="Arial" w:hAnsi="Arial" w:cs="Arial"/>
          <w:i/>
          <w:color w:val="5B9BD5" w:themeColor="accent1"/>
          <w:sz w:val="18"/>
          <w:szCs w:val="18"/>
        </w:rPr>
      </w:pPr>
      <w:r w:rsidRPr="00EB057F">
        <w:rPr>
          <w:rFonts w:ascii="Arial" w:hAnsi="Arial" w:cs="Arial"/>
          <w:sz w:val="18"/>
          <w:szCs w:val="18"/>
        </w:rPr>
        <w:t xml:space="preserve">Forma de pago: </w:t>
      </w:r>
      <w:r w:rsidRPr="00EB057F">
        <w:rPr>
          <w:rFonts w:ascii="Arial" w:hAnsi="Arial" w:cs="Arial"/>
          <w:i/>
          <w:color w:val="5B9BD5" w:themeColor="accent1"/>
          <w:sz w:val="18"/>
          <w:szCs w:val="18"/>
        </w:rPr>
        <w:t>(a llenar por el proveedor)</w:t>
      </w:r>
    </w:p>
    <w:p w14:paraId="56F602D5" w14:textId="77777777" w:rsidR="00722BA2" w:rsidRPr="00EB057F" w:rsidRDefault="00722BA2" w:rsidP="00722BA2">
      <w:pPr>
        <w:pStyle w:val="Prrafodelista"/>
        <w:jc w:val="both"/>
        <w:rPr>
          <w:rFonts w:ascii="Arial" w:hAnsi="Arial" w:cs="Arial"/>
          <w:sz w:val="18"/>
          <w:szCs w:val="18"/>
        </w:rPr>
      </w:pPr>
    </w:p>
    <w:tbl>
      <w:tblPr>
        <w:tblStyle w:val="Tablaconcuadrcula"/>
        <w:tblW w:w="5000" w:type="pct"/>
        <w:jc w:val="center"/>
        <w:tblLook w:val="04A0" w:firstRow="1" w:lastRow="0" w:firstColumn="1" w:lastColumn="0" w:noHBand="0" w:noVBand="1"/>
      </w:tblPr>
      <w:tblGrid>
        <w:gridCol w:w="636"/>
        <w:gridCol w:w="1188"/>
        <w:gridCol w:w="1847"/>
        <w:gridCol w:w="1229"/>
        <w:gridCol w:w="1240"/>
        <w:gridCol w:w="1178"/>
        <w:gridCol w:w="1176"/>
      </w:tblGrid>
      <w:tr w:rsidR="00B25C44" w:rsidRPr="00A1747A" w14:paraId="38BE6871" w14:textId="77777777" w:rsidTr="00A1747A">
        <w:trPr>
          <w:jc w:val="center"/>
        </w:trPr>
        <w:tc>
          <w:tcPr>
            <w:tcW w:w="394" w:type="pct"/>
            <w:shd w:val="clear" w:color="auto" w:fill="8EAADB" w:themeFill="accent5" w:themeFillTint="99"/>
          </w:tcPr>
          <w:p w14:paraId="566FE300" w14:textId="57FF405D" w:rsidR="00B25C44" w:rsidRPr="00A1747A" w:rsidRDefault="00B25C44" w:rsidP="00A75AB2">
            <w:pPr>
              <w:pStyle w:val="Prrafodelista"/>
              <w:ind w:left="0"/>
              <w:jc w:val="center"/>
              <w:rPr>
                <w:rFonts w:ascii="Arial" w:hAnsi="Arial" w:cs="Arial"/>
                <w:b/>
                <w:sz w:val="18"/>
                <w:szCs w:val="18"/>
              </w:rPr>
            </w:pPr>
            <w:r w:rsidRPr="00A1747A">
              <w:rPr>
                <w:rFonts w:ascii="Arial" w:hAnsi="Arial" w:cs="Arial"/>
                <w:b/>
                <w:sz w:val="18"/>
                <w:szCs w:val="18"/>
              </w:rPr>
              <w:t>Nro. ítem</w:t>
            </w:r>
          </w:p>
        </w:tc>
        <w:tc>
          <w:tcPr>
            <w:tcW w:w="718" w:type="pct"/>
            <w:shd w:val="clear" w:color="auto" w:fill="8EAADB" w:themeFill="accent5" w:themeFillTint="99"/>
          </w:tcPr>
          <w:p w14:paraId="438A4034" w14:textId="77777777" w:rsidR="00A75AB2" w:rsidRPr="00A1747A" w:rsidRDefault="00A75AB2" w:rsidP="00A75AB2">
            <w:pPr>
              <w:pStyle w:val="Prrafodelista"/>
              <w:ind w:left="0"/>
              <w:jc w:val="center"/>
              <w:rPr>
                <w:rFonts w:ascii="Arial" w:hAnsi="Arial" w:cs="Arial"/>
                <w:b/>
                <w:sz w:val="18"/>
                <w:szCs w:val="18"/>
              </w:rPr>
            </w:pPr>
          </w:p>
          <w:p w14:paraId="36D77AE0" w14:textId="1BAFD4FA" w:rsidR="00B25C44" w:rsidRPr="00A1747A" w:rsidRDefault="00B25C44" w:rsidP="00A75AB2">
            <w:pPr>
              <w:pStyle w:val="Prrafodelista"/>
              <w:ind w:left="0"/>
              <w:jc w:val="center"/>
              <w:rPr>
                <w:rFonts w:ascii="Arial" w:hAnsi="Arial" w:cs="Arial"/>
                <w:b/>
                <w:sz w:val="18"/>
                <w:szCs w:val="18"/>
              </w:rPr>
            </w:pPr>
            <w:r w:rsidRPr="00A1747A">
              <w:rPr>
                <w:rFonts w:ascii="Arial" w:hAnsi="Arial" w:cs="Arial"/>
                <w:b/>
                <w:sz w:val="18"/>
                <w:szCs w:val="18"/>
              </w:rPr>
              <w:t>CPC</w:t>
            </w:r>
          </w:p>
        </w:tc>
        <w:tc>
          <w:tcPr>
            <w:tcW w:w="974" w:type="pct"/>
            <w:shd w:val="clear" w:color="auto" w:fill="8EAADB" w:themeFill="accent5" w:themeFillTint="99"/>
          </w:tcPr>
          <w:p w14:paraId="4E6E19E7" w14:textId="4000C5BC" w:rsidR="00B25C44" w:rsidRPr="00A1747A" w:rsidRDefault="00B25C44" w:rsidP="00A75AB2">
            <w:pPr>
              <w:pStyle w:val="Prrafodelista"/>
              <w:ind w:left="0"/>
              <w:jc w:val="center"/>
              <w:rPr>
                <w:rFonts w:ascii="Arial" w:hAnsi="Arial" w:cs="Arial"/>
                <w:b/>
                <w:sz w:val="18"/>
                <w:szCs w:val="18"/>
              </w:rPr>
            </w:pPr>
            <w:r w:rsidRPr="00A1747A">
              <w:rPr>
                <w:rFonts w:ascii="Arial" w:hAnsi="Arial" w:cs="Arial"/>
                <w:b/>
                <w:sz w:val="18"/>
                <w:szCs w:val="18"/>
              </w:rPr>
              <w:t>Descripción de bien/servicio</w:t>
            </w:r>
          </w:p>
        </w:tc>
        <w:tc>
          <w:tcPr>
            <w:tcW w:w="742" w:type="pct"/>
            <w:shd w:val="clear" w:color="auto" w:fill="8EAADB" w:themeFill="accent5" w:themeFillTint="99"/>
          </w:tcPr>
          <w:p w14:paraId="0A650026" w14:textId="1E1CBFDC" w:rsidR="00B25C44" w:rsidRPr="00A1747A" w:rsidRDefault="00B25C44" w:rsidP="00A75AB2">
            <w:pPr>
              <w:pStyle w:val="Prrafodelista"/>
              <w:ind w:left="0"/>
              <w:jc w:val="center"/>
              <w:rPr>
                <w:rFonts w:ascii="Arial" w:hAnsi="Arial" w:cs="Arial"/>
                <w:b/>
                <w:sz w:val="18"/>
                <w:szCs w:val="18"/>
              </w:rPr>
            </w:pPr>
            <w:r w:rsidRPr="00A1747A">
              <w:rPr>
                <w:rFonts w:ascii="Arial" w:hAnsi="Arial" w:cs="Arial"/>
                <w:b/>
                <w:sz w:val="18"/>
                <w:szCs w:val="18"/>
              </w:rPr>
              <w:t>Unidad de medida</w:t>
            </w:r>
          </w:p>
        </w:tc>
        <w:tc>
          <w:tcPr>
            <w:tcW w:w="749" w:type="pct"/>
            <w:shd w:val="clear" w:color="auto" w:fill="8EAADB" w:themeFill="accent5" w:themeFillTint="99"/>
          </w:tcPr>
          <w:p w14:paraId="24584438" w14:textId="77777777" w:rsidR="00A75AB2" w:rsidRPr="00A1747A" w:rsidRDefault="00A75AB2" w:rsidP="00A75AB2">
            <w:pPr>
              <w:pStyle w:val="Prrafodelista"/>
              <w:ind w:left="0"/>
              <w:jc w:val="center"/>
              <w:rPr>
                <w:rFonts w:ascii="Arial" w:hAnsi="Arial" w:cs="Arial"/>
                <w:b/>
                <w:sz w:val="18"/>
                <w:szCs w:val="18"/>
              </w:rPr>
            </w:pPr>
          </w:p>
          <w:p w14:paraId="067F9667" w14:textId="508BF58F" w:rsidR="00B25C44" w:rsidRPr="00A1747A" w:rsidRDefault="00B25C44" w:rsidP="00A75AB2">
            <w:pPr>
              <w:pStyle w:val="Prrafodelista"/>
              <w:ind w:left="0"/>
              <w:jc w:val="center"/>
              <w:rPr>
                <w:rFonts w:ascii="Arial" w:hAnsi="Arial" w:cs="Arial"/>
                <w:b/>
                <w:sz w:val="18"/>
                <w:szCs w:val="18"/>
              </w:rPr>
            </w:pPr>
            <w:r w:rsidRPr="00A1747A">
              <w:rPr>
                <w:rFonts w:ascii="Arial" w:hAnsi="Arial" w:cs="Arial"/>
                <w:b/>
                <w:sz w:val="18"/>
                <w:szCs w:val="18"/>
              </w:rPr>
              <w:t>Cantidad</w:t>
            </w:r>
          </w:p>
        </w:tc>
        <w:tc>
          <w:tcPr>
            <w:tcW w:w="712" w:type="pct"/>
            <w:shd w:val="clear" w:color="auto" w:fill="8EAADB" w:themeFill="accent5" w:themeFillTint="99"/>
          </w:tcPr>
          <w:p w14:paraId="559DD709" w14:textId="75DDD7C9" w:rsidR="00B25C44" w:rsidRPr="00A1747A" w:rsidRDefault="00B25C44" w:rsidP="00A75AB2">
            <w:pPr>
              <w:pStyle w:val="Prrafodelista"/>
              <w:ind w:left="0"/>
              <w:jc w:val="center"/>
              <w:rPr>
                <w:rFonts w:ascii="Arial" w:hAnsi="Arial" w:cs="Arial"/>
                <w:b/>
                <w:sz w:val="18"/>
                <w:szCs w:val="18"/>
              </w:rPr>
            </w:pPr>
            <w:r w:rsidRPr="00A1747A">
              <w:rPr>
                <w:rFonts w:ascii="Arial" w:hAnsi="Arial" w:cs="Arial"/>
                <w:b/>
                <w:sz w:val="18"/>
                <w:szCs w:val="18"/>
              </w:rPr>
              <w:t>Precio unitario</w:t>
            </w:r>
          </w:p>
        </w:tc>
        <w:tc>
          <w:tcPr>
            <w:tcW w:w="712" w:type="pct"/>
            <w:shd w:val="clear" w:color="auto" w:fill="8EAADB" w:themeFill="accent5" w:themeFillTint="99"/>
          </w:tcPr>
          <w:p w14:paraId="234F6ABC" w14:textId="5AAC3666" w:rsidR="00B25C44" w:rsidRPr="00A1747A" w:rsidRDefault="00B25C44" w:rsidP="00A75AB2">
            <w:pPr>
              <w:pStyle w:val="Prrafodelista"/>
              <w:ind w:left="0"/>
              <w:jc w:val="center"/>
              <w:rPr>
                <w:rFonts w:ascii="Arial" w:hAnsi="Arial" w:cs="Arial"/>
                <w:b/>
                <w:sz w:val="18"/>
                <w:szCs w:val="18"/>
              </w:rPr>
            </w:pPr>
            <w:r w:rsidRPr="00A1747A">
              <w:rPr>
                <w:rFonts w:ascii="Arial" w:hAnsi="Arial" w:cs="Arial"/>
                <w:b/>
                <w:sz w:val="18"/>
                <w:szCs w:val="18"/>
              </w:rPr>
              <w:t>Precio total</w:t>
            </w:r>
          </w:p>
        </w:tc>
      </w:tr>
      <w:tr w:rsidR="00B25C44" w:rsidRPr="00A1747A" w14:paraId="006F198C" w14:textId="77777777" w:rsidTr="00A1747A">
        <w:trPr>
          <w:jc w:val="center"/>
        </w:trPr>
        <w:tc>
          <w:tcPr>
            <w:tcW w:w="394" w:type="pct"/>
          </w:tcPr>
          <w:p w14:paraId="7114840B" w14:textId="77777777" w:rsidR="006A7B21" w:rsidRPr="00A1747A" w:rsidRDefault="006A7B21" w:rsidP="00A75AB2">
            <w:pPr>
              <w:pStyle w:val="Prrafodelista"/>
              <w:ind w:left="0"/>
              <w:jc w:val="center"/>
              <w:rPr>
                <w:rFonts w:ascii="Arial" w:hAnsi="Arial" w:cs="Arial"/>
                <w:iCs/>
                <w:sz w:val="18"/>
                <w:szCs w:val="18"/>
              </w:rPr>
            </w:pPr>
          </w:p>
          <w:p w14:paraId="0718E296" w14:textId="77777777" w:rsidR="006A7B21" w:rsidRPr="00A1747A" w:rsidRDefault="006A7B21" w:rsidP="00A75AB2">
            <w:pPr>
              <w:pStyle w:val="Prrafodelista"/>
              <w:ind w:left="0"/>
              <w:jc w:val="center"/>
              <w:rPr>
                <w:rFonts w:ascii="Arial" w:hAnsi="Arial" w:cs="Arial"/>
                <w:iCs/>
                <w:sz w:val="18"/>
                <w:szCs w:val="18"/>
              </w:rPr>
            </w:pPr>
          </w:p>
          <w:p w14:paraId="2EC2BFA8" w14:textId="3B1A9D7F" w:rsidR="00B25C44" w:rsidRPr="00A1747A" w:rsidRDefault="00A75AB2" w:rsidP="00A75AB2">
            <w:pPr>
              <w:pStyle w:val="Prrafodelista"/>
              <w:ind w:left="0"/>
              <w:jc w:val="center"/>
              <w:rPr>
                <w:rFonts w:ascii="Arial" w:hAnsi="Arial" w:cs="Arial"/>
                <w:iCs/>
                <w:sz w:val="18"/>
                <w:szCs w:val="18"/>
              </w:rPr>
            </w:pPr>
            <w:r w:rsidRPr="00A1747A">
              <w:rPr>
                <w:rFonts w:ascii="Arial" w:hAnsi="Arial" w:cs="Arial"/>
                <w:iCs/>
                <w:sz w:val="18"/>
                <w:szCs w:val="18"/>
              </w:rPr>
              <w:t>1</w:t>
            </w:r>
          </w:p>
        </w:tc>
        <w:tc>
          <w:tcPr>
            <w:tcW w:w="718" w:type="pct"/>
          </w:tcPr>
          <w:p w14:paraId="4DAA5AD9" w14:textId="77777777" w:rsidR="006A7B21" w:rsidRPr="00A1747A" w:rsidRDefault="006A7B21" w:rsidP="00A75AB2">
            <w:pPr>
              <w:pStyle w:val="Prrafodelista"/>
              <w:ind w:left="0"/>
              <w:jc w:val="center"/>
              <w:rPr>
                <w:rFonts w:ascii="Arial" w:hAnsi="Arial" w:cs="Arial"/>
                <w:iCs/>
                <w:sz w:val="18"/>
                <w:szCs w:val="18"/>
              </w:rPr>
            </w:pPr>
          </w:p>
          <w:p w14:paraId="1CF35AB5" w14:textId="77777777" w:rsidR="006A7B21" w:rsidRPr="00A1747A" w:rsidRDefault="006A7B21" w:rsidP="00A75AB2">
            <w:pPr>
              <w:pStyle w:val="Prrafodelista"/>
              <w:ind w:left="0"/>
              <w:jc w:val="center"/>
              <w:rPr>
                <w:rFonts w:ascii="Arial" w:hAnsi="Arial" w:cs="Arial"/>
                <w:iCs/>
                <w:sz w:val="18"/>
                <w:szCs w:val="18"/>
              </w:rPr>
            </w:pPr>
          </w:p>
          <w:p w14:paraId="7BB98F17" w14:textId="13DD7956" w:rsidR="00B25C44" w:rsidRPr="00A1747A" w:rsidRDefault="00A1747A" w:rsidP="00A75AB2">
            <w:pPr>
              <w:pStyle w:val="Prrafodelista"/>
              <w:ind w:left="0"/>
              <w:jc w:val="center"/>
              <w:rPr>
                <w:rFonts w:ascii="Arial" w:hAnsi="Arial" w:cs="Arial"/>
                <w:iCs/>
                <w:sz w:val="18"/>
                <w:szCs w:val="18"/>
              </w:rPr>
            </w:pPr>
            <w:r w:rsidRPr="00A1747A">
              <w:rPr>
                <w:rFonts w:ascii="Arial" w:hAnsi="Arial" w:cs="Arial"/>
                <w:bCs/>
                <w:sz w:val="18"/>
                <w:szCs w:val="18"/>
              </w:rPr>
              <w:t>831150112</w:t>
            </w:r>
          </w:p>
        </w:tc>
        <w:tc>
          <w:tcPr>
            <w:tcW w:w="974" w:type="pct"/>
          </w:tcPr>
          <w:p w14:paraId="0E349AE8" w14:textId="4BB49468" w:rsidR="00B25C44" w:rsidRPr="00A1747A" w:rsidRDefault="00A1747A" w:rsidP="00A1747A">
            <w:pPr>
              <w:pStyle w:val="Prrafodelista"/>
              <w:ind w:left="0"/>
              <w:jc w:val="both"/>
              <w:rPr>
                <w:rFonts w:ascii="Arial" w:hAnsi="Arial" w:cs="Arial"/>
                <w:iCs/>
                <w:sz w:val="18"/>
                <w:szCs w:val="18"/>
              </w:rPr>
            </w:pPr>
            <w:r w:rsidRPr="00A1747A">
              <w:rPr>
                <w:rFonts w:ascii="Arial" w:hAnsi="Arial" w:cs="Arial"/>
                <w:sz w:val="18"/>
                <w:szCs w:val="18"/>
              </w:rPr>
              <w:t>CONSULTORÍA PARA LA CONSTATACIÓN FÍSICA Y REVALORIZACIÓN DE BIENES DE LARGA DURACIÓN PERTENECIENTES A LA EMPRESA PÚBLICA METROPOLITANA DE TRANSPORTE DE PASAJEROS DE QUITO</w:t>
            </w:r>
          </w:p>
        </w:tc>
        <w:tc>
          <w:tcPr>
            <w:tcW w:w="742" w:type="pct"/>
          </w:tcPr>
          <w:p w14:paraId="41974969" w14:textId="77777777" w:rsidR="00B25C44" w:rsidRPr="00A1747A" w:rsidRDefault="00B25C44" w:rsidP="00A75AB2">
            <w:pPr>
              <w:pStyle w:val="Prrafodelista"/>
              <w:ind w:left="0"/>
              <w:jc w:val="center"/>
              <w:rPr>
                <w:rFonts w:ascii="Arial" w:hAnsi="Arial" w:cs="Arial"/>
                <w:iCs/>
                <w:sz w:val="18"/>
                <w:szCs w:val="18"/>
              </w:rPr>
            </w:pPr>
          </w:p>
          <w:p w14:paraId="324CD767" w14:textId="77777777" w:rsidR="00F5423A" w:rsidRPr="00A1747A" w:rsidRDefault="00F5423A" w:rsidP="00A75AB2">
            <w:pPr>
              <w:pStyle w:val="Prrafodelista"/>
              <w:ind w:left="0"/>
              <w:jc w:val="center"/>
              <w:rPr>
                <w:rFonts w:ascii="Arial" w:hAnsi="Arial" w:cs="Arial"/>
                <w:iCs/>
                <w:sz w:val="18"/>
                <w:szCs w:val="18"/>
              </w:rPr>
            </w:pPr>
          </w:p>
          <w:p w14:paraId="67505E79" w14:textId="4568D447" w:rsidR="006A7B21" w:rsidRPr="00A1747A" w:rsidRDefault="00EC4340" w:rsidP="00A75AB2">
            <w:pPr>
              <w:pStyle w:val="Prrafodelista"/>
              <w:ind w:left="0"/>
              <w:jc w:val="center"/>
              <w:rPr>
                <w:rFonts w:ascii="Arial" w:hAnsi="Arial" w:cs="Arial"/>
                <w:iCs/>
                <w:sz w:val="18"/>
                <w:szCs w:val="18"/>
              </w:rPr>
            </w:pPr>
            <w:r w:rsidRPr="00A1747A">
              <w:rPr>
                <w:rFonts w:ascii="Arial" w:hAnsi="Arial" w:cs="Arial"/>
                <w:iCs/>
                <w:sz w:val="18"/>
                <w:szCs w:val="18"/>
              </w:rPr>
              <w:t>u</w:t>
            </w:r>
          </w:p>
        </w:tc>
        <w:tc>
          <w:tcPr>
            <w:tcW w:w="749" w:type="pct"/>
          </w:tcPr>
          <w:p w14:paraId="7AA31D0B" w14:textId="77777777" w:rsidR="00B25C44" w:rsidRPr="00A1747A" w:rsidRDefault="00B25C44" w:rsidP="00A75AB2">
            <w:pPr>
              <w:pStyle w:val="Prrafodelista"/>
              <w:ind w:left="0"/>
              <w:jc w:val="center"/>
              <w:rPr>
                <w:rFonts w:ascii="Arial" w:hAnsi="Arial" w:cs="Arial"/>
                <w:iCs/>
                <w:sz w:val="18"/>
                <w:szCs w:val="18"/>
              </w:rPr>
            </w:pPr>
          </w:p>
          <w:p w14:paraId="19A0020B" w14:textId="77777777" w:rsidR="00F5423A" w:rsidRPr="00A1747A" w:rsidRDefault="00F5423A" w:rsidP="00A75AB2">
            <w:pPr>
              <w:pStyle w:val="Prrafodelista"/>
              <w:ind w:left="0"/>
              <w:jc w:val="center"/>
              <w:rPr>
                <w:rFonts w:ascii="Arial" w:hAnsi="Arial" w:cs="Arial"/>
                <w:iCs/>
                <w:sz w:val="18"/>
                <w:szCs w:val="18"/>
              </w:rPr>
            </w:pPr>
          </w:p>
          <w:p w14:paraId="3201B6AA" w14:textId="19DE0AE5" w:rsidR="00F5423A" w:rsidRPr="00A1747A" w:rsidRDefault="00A1747A" w:rsidP="00A75AB2">
            <w:pPr>
              <w:pStyle w:val="Prrafodelista"/>
              <w:ind w:left="0"/>
              <w:jc w:val="center"/>
              <w:rPr>
                <w:rFonts w:ascii="Arial" w:hAnsi="Arial" w:cs="Arial"/>
                <w:iCs/>
                <w:sz w:val="18"/>
                <w:szCs w:val="18"/>
              </w:rPr>
            </w:pPr>
            <w:r w:rsidRPr="00A1747A">
              <w:rPr>
                <w:rFonts w:ascii="Arial" w:hAnsi="Arial" w:cs="Arial"/>
                <w:iCs/>
                <w:sz w:val="18"/>
                <w:szCs w:val="18"/>
              </w:rPr>
              <w:t>1</w:t>
            </w:r>
          </w:p>
        </w:tc>
        <w:tc>
          <w:tcPr>
            <w:tcW w:w="712" w:type="pct"/>
          </w:tcPr>
          <w:p w14:paraId="7817F7C3" w14:textId="2F8C8D95" w:rsidR="00B25C44" w:rsidRPr="00A1747A" w:rsidRDefault="00B25C44" w:rsidP="00A75AB2">
            <w:pPr>
              <w:pStyle w:val="Prrafodelista"/>
              <w:ind w:left="0"/>
              <w:jc w:val="center"/>
              <w:rPr>
                <w:rFonts w:ascii="Arial" w:hAnsi="Arial" w:cs="Arial"/>
                <w:iCs/>
                <w:sz w:val="18"/>
                <w:szCs w:val="18"/>
              </w:rPr>
            </w:pPr>
          </w:p>
        </w:tc>
        <w:tc>
          <w:tcPr>
            <w:tcW w:w="712" w:type="pct"/>
          </w:tcPr>
          <w:p w14:paraId="4A88E2BC" w14:textId="76121A6C" w:rsidR="00B25C44" w:rsidRPr="00A1747A" w:rsidRDefault="00B25C44" w:rsidP="00A75AB2">
            <w:pPr>
              <w:pStyle w:val="Prrafodelista"/>
              <w:ind w:left="0"/>
              <w:jc w:val="center"/>
              <w:rPr>
                <w:rFonts w:ascii="Arial" w:hAnsi="Arial" w:cs="Arial"/>
                <w:iCs/>
                <w:sz w:val="18"/>
                <w:szCs w:val="18"/>
              </w:rPr>
            </w:pPr>
          </w:p>
        </w:tc>
      </w:tr>
      <w:tr w:rsidR="00EC4340" w:rsidRPr="00A1747A" w14:paraId="2EDFABC2" w14:textId="77777777" w:rsidTr="00A1747A">
        <w:trPr>
          <w:jc w:val="center"/>
        </w:trPr>
        <w:tc>
          <w:tcPr>
            <w:tcW w:w="394" w:type="pct"/>
          </w:tcPr>
          <w:p w14:paraId="2D9F8ED9" w14:textId="77777777" w:rsidR="00EC4340" w:rsidRPr="00A1747A" w:rsidRDefault="00EC4340" w:rsidP="00EC4340">
            <w:pPr>
              <w:pStyle w:val="Prrafodelista"/>
              <w:ind w:left="0"/>
              <w:jc w:val="both"/>
              <w:rPr>
                <w:rFonts w:ascii="Arial" w:hAnsi="Arial" w:cs="Arial"/>
                <w:i/>
                <w:color w:val="5B9BD5" w:themeColor="accent1"/>
                <w:sz w:val="18"/>
                <w:szCs w:val="18"/>
              </w:rPr>
            </w:pPr>
          </w:p>
        </w:tc>
        <w:tc>
          <w:tcPr>
            <w:tcW w:w="718" w:type="pct"/>
          </w:tcPr>
          <w:p w14:paraId="5D37E370" w14:textId="77777777" w:rsidR="00EC4340" w:rsidRPr="00A1747A" w:rsidRDefault="00EC4340" w:rsidP="00EC4340">
            <w:pPr>
              <w:pStyle w:val="Prrafodelista"/>
              <w:ind w:left="0"/>
              <w:jc w:val="both"/>
              <w:rPr>
                <w:rFonts w:ascii="Arial" w:hAnsi="Arial" w:cs="Arial"/>
                <w:i/>
                <w:color w:val="5B9BD5" w:themeColor="accent1"/>
                <w:sz w:val="18"/>
                <w:szCs w:val="18"/>
              </w:rPr>
            </w:pPr>
          </w:p>
        </w:tc>
        <w:tc>
          <w:tcPr>
            <w:tcW w:w="974" w:type="pct"/>
          </w:tcPr>
          <w:p w14:paraId="441D19E7" w14:textId="77777777" w:rsidR="00EC4340" w:rsidRPr="00A1747A" w:rsidRDefault="00EC4340" w:rsidP="00EC4340">
            <w:pPr>
              <w:pStyle w:val="Prrafodelista"/>
              <w:ind w:left="0"/>
              <w:jc w:val="both"/>
              <w:rPr>
                <w:rFonts w:ascii="Arial" w:hAnsi="Arial" w:cs="Arial"/>
                <w:i/>
                <w:color w:val="5B9BD5" w:themeColor="accent1"/>
                <w:sz w:val="18"/>
                <w:szCs w:val="18"/>
              </w:rPr>
            </w:pPr>
          </w:p>
        </w:tc>
        <w:tc>
          <w:tcPr>
            <w:tcW w:w="742" w:type="pct"/>
          </w:tcPr>
          <w:p w14:paraId="06E89B48" w14:textId="77777777" w:rsidR="00EC4340" w:rsidRPr="00A1747A" w:rsidRDefault="00EC4340" w:rsidP="00EC4340">
            <w:pPr>
              <w:pStyle w:val="Prrafodelista"/>
              <w:ind w:left="0"/>
              <w:jc w:val="both"/>
              <w:rPr>
                <w:rFonts w:ascii="Arial" w:hAnsi="Arial" w:cs="Arial"/>
                <w:i/>
                <w:color w:val="5B9BD5" w:themeColor="accent1"/>
                <w:sz w:val="18"/>
                <w:szCs w:val="18"/>
              </w:rPr>
            </w:pPr>
          </w:p>
        </w:tc>
        <w:tc>
          <w:tcPr>
            <w:tcW w:w="749" w:type="pct"/>
          </w:tcPr>
          <w:p w14:paraId="2B778112" w14:textId="59575870" w:rsidR="00EC4340" w:rsidRPr="00A1747A" w:rsidRDefault="00EC4340" w:rsidP="00EC4340">
            <w:pPr>
              <w:pStyle w:val="Prrafodelista"/>
              <w:ind w:left="0"/>
              <w:jc w:val="both"/>
              <w:rPr>
                <w:rFonts w:ascii="Arial" w:hAnsi="Arial" w:cs="Arial"/>
                <w:i/>
                <w:color w:val="5B9BD5" w:themeColor="accent1"/>
                <w:sz w:val="18"/>
                <w:szCs w:val="18"/>
              </w:rPr>
            </w:pPr>
          </w:p>
        </w:tc>
        <w:tc>
          <w:tcPr>
            <w:tcW w:w="712" w:type="pct"/>
          </w:tcPr>
          <w:p w14:paraId="229F5453" w14:textId="37D3F1F9" w:rsidR="00EC4340" w:rsidRPr="00A1747A" w:rsidRDefault="00EC4340" w:rsidP="00EC4340">
            <w:pPr>
              <w:pStyle w:val="Prrafodelista"/>
              <w:ind w:left="0"/>
              <w:jc w:val="both"/>
              <w:rPr>
                <w:rFonts w:ascii="Arial" w:hAnsi="Arial" w:cs="Arial"/>
                <w:b/>
                <w:bCs/>
                <w:i/>
                <w:sz w:val="18"/>
                <w:szCs w:val="18"/>
              </w:rPr>
            </w:pPr>
            <w:r w:rsidRPr="00A1747A">
              <w:rPr>
                <w:rFonts w:ascii="Arial" w:hAnsi="Arial" w:cs="Arial"/>
                <w:b/>
                <w:bCs/>
                <w:i/>
                <w:sz w:val="18"/>
                <w:szCs w:val="18"/>
              </w:rPr>
              <w:t>Total</w:t>
            </w:r>
          </w:p>
        </w:tc>
        <w:tc>
          <w:tcPr>
            <w:tcW w:w="712" w:type="pct"/>
          </w:tcPr>
          <w:p w14:paraId="5572C440" w14:textId="77777777" w:rsidR="00EC4340" w:rsidRPr="00A1747A" w:rsidRDefault="00EC4340" w:rsidP="00EC4340">
            <w:pPr>
              <w:pStyle w:val="Prrafodelista"/>
              <w:ind w:left="0"/>
              <w:jc w:val="both"/>
              <w:rPr>
                <w:rFonts w:ascii="Arial" w:hAnsi="Arial" w:cs="Arial"/>
                <w:i/>
                <w:color w:val="5B9BD5" w:themeColor="accent1"/>
                <w:sz w:val="18"/>
                <w:szCs w:val="18"/>
              </w:rPr>
            </w:pPr>
          </w:p>
        </w:tc>
      </w:tr>
    </w:tbl>
    <w:p w14:paraId="2FAC282D" w14:textId="10CB1F37" w:rsidR="0011426E" w:rsidRPr="00EB057F" w:rsidRDefault="00C2033B" w:rsidP="00402682">
      <w:pPr>
        <w:jc w:val="both"/>
        <w:rPr>
          <w:rFonts w:ascii="Arial" w:hAnsi="Arial" w:cs="Arial"/>
          <w:sz w:val="18"/>
          <w:szCs w:val="18"/>
        </w:rPr>
      </w:pPr>
      <w:r w:rsidRPr="00EB057F">
        <w:rPr>
          <w:rFonts w:ascii="Arial" w:hAnsi="Arial" w:cs="Arial"/>
          <w:sz w:val="18"/>
          <w:szCs w:val="18"/>
        </w:rPr>
        <w:t>*Estos valores no incluyen IVA.</w:t>
      </w:r>
    </w:p>
    <w:p w14:paraId="08AE421A" w14:textId="77777777" w:rsidR="0093173E" w:rsidRPr="00EB057F" w:rsidRDefault="0093173E" w:rsidP="0093173E">
      <w:pPr>
        <w:pStyle w:val="Prrafodelista"/>
        <w:spacing w:after="0" w:line="240" w:lineRule="auto"/>
        <w:ind w:left="0"/>
        <w:rPr>
          <w:rFonts w:ascii="Arial" w:hAnsi="Arial" w:cs="Arial"/>
          <w:color w:val="5B9BD5" w:themeColor="accent1"/>
          <w:sz w:val="18"/>
          <w:szCs w:val="18"/>
        </w:rPr>
      </w:pPr>
    </w:p>
    <w:tbl>
      <w:tblPr>
        <w:tblStyle w:val="Tablaconcuadrcula"/>
        <w:tblW w:w="5000" w:type="pct"/>
        <w:jc w:val="center"/>
        <w:tblLook w:val="04A0" w:firstRow="1" w:lastRow="0" w:firstColumn="1" w:lastColumn="0" w:noHBand="0" w:noVBand="1"/>
      </w:tblPr>
      <w:tblGrid>
        <w:gridCol w:w="5249"/>
        <w:gridCol w:w="3245"/>
      </w:tblGrid>
      <w:tr w:rsidR="0093173E" w:rsidRPr="009C2A65" w14:paraId="1F841D27" w14:textId="77777777" w:rsidTr="0036501A">
        <w:trPr>
          <w:trHeight w:val="248"/>
          <w:tblHeader/>
          <w:jc w:val="center"/>
        </w:trPr>
        <w:tc>
          <w:tcPr>
            <w:tcW w:w="3090" w:type="pct"/>
          </w:tcPr>
          <w:p w14:paraId="5CD70403" w14:textId="1278A3F1" w:rsidR="0093173E" w:rsidRPr="009C2A65" w:rsidRDefault="0093173E" w:rsidP="00DC4D92">
            <w:pPr>
              <w:pStyle w:val="Prrafodelista"/>
              <w:ind w:left="0"/>
              <w:jc w:val="both"/>
              <w:rPr>
                <w:rFonts w:ascii="Arial" w:hAnsi="Arial" w:cs="Arial"/>
                <w:b/>
                <w:sz w:val="18"/>
                <w:szCs w:val="18"/>
              </w:rPr>
            </w:pPr>
            <w:r w:rsidRPr="009C2A65">
              <w:rPr>
                <w:rFonts w:ascii="Arial" w:hAnsi="Arial" w:cs="Arial"/>
                <w:b/>
                <w:sz w:val="18"/>
                <w:szCs w:val="18"/>
              </w:rPr>
              <w:t>Servicio requerido</w:t>
            </w:r>
          </w:p>
        </w:tc>
        <w:tc>
          <w:tcPr>
            <w:tcW w:w="1910" w:type="pct"/>
          </w:tcPr>
          <w:p w14:paraId="3FC1C414" w14:textId="6A53964A" w:rsidR="0093173E" w:rsidRPr="009C2A65" w:rsidRDefault="0093173E" w:rsidP="00DC4D92">
            <w:pPr>
              <w:pStyle w:val="Prrafodelista"/>
              <w:ind w:left="0"/>
              <w:jc w:val="both"/>
              <w:rPr>
                <w:rFonts w:ascii="Arial" w:hAnsi="Arial" w:cs="Arial"/>
                <w:b/>
                <w:sz w:val="18"/>
                <w:szCs w:val="18"/>
              </w:rPr>
            </w:pPr>
            <w:r w:rsidRPr="009C2A65">
              <w:rPr>
                <w:rFonts w:ascii="Arial" w:hAnsi="Arial" w:cs="Arial"/>
                <w:b/>
                <w:sz w:val="18"/>
                <w:szCs w:val="18"/>
              </w:rPr>
              <w:t>Servicio ofertado</w:t>
            </w:r>
          </w:p>
        </w:tc>
      </w:tr>
      <w:tr w:rsidR="0093173E" w:rsidRPr="009C2A65" w14:paraId="65A99D9C" w14:textId="77777777" w:rsidTr="0093173E">
        <w:trPr>
          <w:trHeight w:val="760"/>
          <w:jc w:val="center"/>
        </w:trPr>
        <w:tc>
          <w:tcPr>
            <w:tcW w:w="3090" w:type="pct"/>
          </w:tcPr>
          <w:p w14:paraId="68833B96" w14:textId="77777777" w:rsidR="00A1747A" w:rsidRPr="009C2A65" w:rsidRDefault="00A1747A" w:rsidP="00A1747A">
            <w:pPr>
              <w:suppressAutoHyphens/>
              <w:ind w:left="447" w:hanging="283"/>
              <w:rPr>
                <w:rFonts w:ascii="Arial" w:eastAsia="Times New Roman" w:hAnsi="Arial" w:cs="Arial"/>
                <w:b/>
                <w:color w:val="000000"/>
                <w:spacing w:val="-3"/>
                <w:sz w:val="18"/>
                <w:szCs w:val="18"/>
                <w:lang w:val="es-MX"/>
              </w:rPr>
            </w:pPr>
            <w:bookmarkStart w:id="0" w:name="_Hlk173171749"/>
            <w:r w:rsidRPr="009C2A65">
              <w:rPr>
                <w:rFonts w:ascii="Arial" w:eastAsia="Times New Roman" w:hAnsi="Arial" w:cs="Arial"/>
                <w:b/>
                <w:color w:val="000000"/>
                <w:spacing w:val="-3"/>
                <w:sz w:val="18"/>
                <w:szCs w:val="18"/>
                <w:lang w:val="es-MX"/>
              </w:rPr>
              <w:t>Producto 1:</w:t>
            </w:r>
          </w:p>
          <w:p w14:paraId="2637F2D8" w14:textId="77777777" w:rsidR="00A1747A" w:rsidRPr="009C2A65" w:rsidRDefault="00A1747A" w:rsidP="00A1747A">
            <w:pPr>
              <w:suppressAutoHyphens/>
              <w:ind w:left="447" w:hanging="283"/>
              <w:rPr>
                <w:rFonts w:ascii="Arial" w:eastAsia="Times New Roman" w:hAnsi="Arial" w:cs="Arial"/>
                <w:b/>
                <w:color w:val="000000"/>
                <w:spacing w:val="-3"/>
                <w:sz w:val="18"/>
                <w:szCs w:val="18"/>
                <w:lang w:val="es-MX"/>
              </w:rPr>
            </w:pPr>
          </w:p>
          <w:p w14:paraId="0D91EA99" w14:textId="77777777" w:rsidR="00A1747A" w:rsidRPr="009C2A65" w:rsidRDefault="00A1747A" w:rsidP="00A1747A">
            <w:pPr>
              <w:suppressAutoHyphens/>
              <w:ind w:left="447" w:hanging="283"/>
              <w:rPr>
                <w:rFonts w:ascii="Arial" w:eastAsia="Times New Roman" w:hAnsi="Arial" w:cs="Arial"/>
                <w:bCs/>
                <w:color w:val="000000"/>
                <w:spacing w:val="-3"/>
                <w:sz w:val="18"/>
                <w:szCs w:val="18"/>
                <w:lang w:val="es-MX"/>
              </w:rPr>
            </w:pPr>
            <w:r w:rsidRPr="009C2A65">
              <w:rPr>
                <w:rFonts w:ascii="Arial" w:eastAsia="Times New Roman" w:hAnsi="Arial" w:cs="Arial"/>
                <w:bCs/>
                <w:color w:val="000000"/>
                <w:spacing w:val="-3"/>
                <w:sz w:val="18"/>
                <w:szCs w:val="18"/>
                <w:lang w:val="es-MX"/>
              </w:rPr>
              <w:t>Constatación Física 2024</w:t>
            </w:r>
          </w:p>
          <w:p w14:paraId="617627DE" w14:textId="77777777" w:rsidR="00A1747A" w:rsidRPr="009C2A65" w:rsidRDefault="00A1747A" w:rsidP="00A1747A">
            <w:pPr>
              <w:suppressAutoHyphens/>
              <w:ind w:left="447" w:hanging="283"/>
              <w:rPr>
                <w:rFonts w:ascii="Arial" w:eastAsia="Times New Roman" w:hAnsi="Arial" w:cs="Arial"/>
                <w:bCs/>
                <w:color w:val="000000"/>
                <w:spacing w:val="-3"/>
                <w:sz w:val="18"/>
                <w:szCs w:val="18"/>
                <w:lang w:val="es-MX"/>
              </w:rPr>
            </w:pPr>
          </w:p>
          <w:p w14:paraId="31E1A1C9" w14:textId="77777777" w:rsidR="00A1747A" w:rsidRPr="009C2A65" w:rsidRDefault="00A1747A" w:rsidP="00A1747A">
            <w:pPr>
              <w:suppressAutoHyphens/>
              <w:ind w:left="447" w:hanging="283"/>
              <w:rPr>
                <w:rFonts w:ascii="Arial" w:eastAsia="Times New Roman" w:hAnsi="Arial" w:cs="Arial"/>
                <w:b/>
                <w:color w:val="000000"/>
                <w:spacing w:val="-3"/>
                <w:sz w:val="18"/>
                <w:szCs w:val="18"/>
                <w:lang w:val="es-MX"/>
              </w:rPr>
            </w:pPr>
            <w:r w:rsidRPr="009C2A65">
              <w:rPr>
                <w:rFonts w:ascii="Arial" w:eastAsia="Times New Roman" w:hAnsi="Arial" w:cs="Arial"/>
                <w:b/>
                <w:color w:val="000000"/>
                <w:spacing w:val="-3"/>
                <w:sz w:val="18"/>
                <w:szCs w:val="18"/>
                <w:lang w:val="es-MX"/>
              </w:rPr>
              <w:t>Entregable 1:</w:t>
            </w:r>
          </w:p>
          <w:p w14:paraId="4647DD98" w14:textId="77777777" w:rsidR="00A1747A" w:rsidRPr="009C2A65" w:rsidRDefault="00A1747A" w:rsidP="00A1747A">
            <w:pPr>
              <w:suppressAutoHyphens/>
              <w:ind w:left="447" w:hanging="283"/>
              <w:rPr>
                <w:rFonts w:ascii="Arial" w:eastAsia="Times New Roman" w:hAnsi="Arial" w:cs="Arial"/>
                <w:b/>
                <w:color w:val="000000"/>
                <w:spacing w:val="-3"/>
                <w:sz w:val="18"/>
                <w:szCs w:val="18"/>
                <w:lang w:val="es-MX"/>
              </w:rPr>
            </w:pPr>
          </w:p>
          <w:p w14:paraId="38086A52" w14:textId="77777777" w:rsidR="00A1747A" w:rsidRPr="009C2A65" w:rsidRDefault="00A1747A" w:rsidP="00A1747A">
            <w:pPr>
              <w:pStyle w:val="Prrafodelista"/>
              <w:numPr>
                <w:ilvl w:val="0"/>
                <w:numId w:val="10"/>
              </w:numPr>
              <w:suppressAutoHyphens/>
              <w:ind w:left="447" w:hanging="283"/>
              <w:contextualSpacing w:val="0"/>
              <w:jc w:val="both"/>
              <w:rPr>
                <w:rFonts w:ascii="Arial" w:hAnsi="Arial" w:cs="Arial"/>
                <w:b/>
                <w:color w:val="000000"/>
                <w:spacing w:val="-3"/>
                <w:sz w:val="18"/>
                <w:szCs w:val="18"/>
                <w:lang w:val="es-MX"/>
              </w:rPr>
            </w:pPr>
            <w:r w:rsidRPr="009C2A65">
              <w:rPr>
                <w:rFonts w:ascii="Arial" w:hAnsi="Arial" w:cs="Arial"/>
                <w:sz w:val="18"/>
                <w:szCs w:val="18"/>
              </w:rPr>
              <w:t>Listado del Inventario de los bienes muebles de propiedad Planta y Equipo, constatados; el cual debe contener, código del bien, ubicación, usuario, descripción, marca modelo serie, número de motor, número de chasis (según aplique), grupo contable y estado del bien, estimación de vida útil, depreciación.</w:t>
            </w:r>
          </w:p>
          <w:p w14:paraId="35E39E83" w14:textId="77777777" w:rsidR="00A1747A" w:rsidRPr="009C2A65" w:rsidRDefault="00A1747A" w:rsidP="00A1747A">
            <w:pPr>
              <w:pStyle w:val="Prrafodelista"/>
              <w:numPr>
                <w:ilvl w:val="0"/>
                <w:numId w:val="10"/>
              </w:numPr>
              <w:suppressAutoHyphens/>
              <w:ind w:left="447" w:hanging="283"/>
              <w:contextualSpacing w:val="0"/>
              <w:jc w:val="both"/>
              <w:rPr>
                <w:rFonts w:ascii="Arial" w:hAnsi="Arial" w:cs="Arial"/>
                <w:b/>
                <w:color w:val="000000"/>
                <w:spacing w:val="-3"/>
                <w:sz w:val="18"/>
                <w:szCs w:val="18"/>
                <w:lang w:val="es-MX"/>
              </w:rPr>
            </w:pPr>
            <w:r w:rsidRPr="009C2A65">
              <w:rPr>
                <w:rFonts w:ascii="Arial" w:hAnsi="Arial" w:cs="Arial"/>
                <w:sz w:val="18"/>
                <w:szCs w:val="18"/>
              </w:rPr>
              <w:t>Listado del Inventario de los bienes inmuebles constatados; el cual debe contener descripción, ubicación, grupo contable y estado del bien.</w:t>
            </w:r>
          </w:p>
          <w:p w14:paraId="7844CF71" w14:textId="77777777" w:rsidR="00A1747A" w:rsidRPr="009C2A65" w:rsidRDefault="00A1747A" w:rsidP="00A1747A">
            <w:pPr>
              <w:pStyle w:val="Prrafodelista"/>
              <w:numPr>
                <w:ilvl w:val="0"/>
                <w:numId w:val="10"/>
              </w:numPr>
              <w:suppressAutoHyphens/>
              <w:ind w:left="447" w:hanging="283"/>
              <w:contextualSpacing w:val="0"/>
              <w:jc w:val="both"/>
              <w:rPr>
                <w:rFonts w:ascii="Arial" w:hAnsi="Arial" w:cs="Arial"/>
                <w:sz w:val="18"/>
                <w:szCs w:val="18"/>
              </w:rPr>
            </w:pPr>
            <w:r w:rsidRPr="009C2A65">
              <w:rPr>
                <w:rFonts w:ascii="Arial" w:hAnsi="Arial" w:cs="Arial"/>
                <w:sz w:val="18"/>
                <w:szCs w:val="18"/>
              </w:rPr>
              <w:t xml:space="preserve">Listado de bienes faltantes o no presentados en la constatación física. </w:t>
            </w:r>
          </w:p>
          <w:p w14:paraId="02D729AD" w14:textId="77777777" w:rsidR="00A1747A" w:rsidRPr="009C2A65" w:rsidRDefault="00A1747A" w:rsidP="00A1747A">
            <w:pPr>
              <w:pStyle w:val="Prrafodelista"/>
              <w:numPr>
                <w:ilvl w:val="0"/>
                <w:numId w:val="10"/>
              </w:numPr>
              <w:suppressAutoHyphens/>
              <w:ind w:left="447" w:hanging="283"/>
              <w:contextualSpacing w:val="0"/>
              <w:jc w:val="both"/>
              <w:rPr>
                <w:rFonts w:ascii="Arial" w:hAnsi="Arial" w:cs="Arial"/>
                <w:sz w:val="18"/>
                <w:szCs w:val="18"/>
              </w:rPr>
            </w:pPr>
            <w:r w:rsidRPr="009C2A65">
              <w:rPr>
                <w:rFonts w:ascii="Arial" w:hAnsi="Arial" w:cs="Arial"/>
                <w:sz w:val="18"/>
                <w:szCs w:val="18"/>
              </w:rPr>
              <w:t>Listado de Bienes muebles no registrados en el inventario encontrados en las unidades administrativas.</w:t>
            </w:r>
          </w:p>
          <w:p w14:paraId="13667CA2" w14:textId="77777777" w:rsidR="00A1747A" w:rsidRPr="009C2A65" w:rsidRDefault="00A1747A" w:rsidP="00A1747A">
            <w:pPr>
              <w:pStyle w:val="Prrafodelista"/>
              <w:numPr>
                <w:ilvl w:val="0"/>
                <w:numId w:val="10"/>
              </w:numPr>
              <w:suppressAutoHyphens/>
              <w:ind w:left="447" w:hanging="283"/>
              <w:contextualSpacing w:val="0"/>
              <w:jc w:val="both"/>
              <w:rPr>
                <w:rFonts w:ascii="Arial" w:hAnsi="Arial" w:cs="Arial"/>
                <w:b/>
                <w:color w:val="000000"/>
                <w:spacing w:val="-3"/>
                <w:sz w:val="18"/>
                <w:szCs w:val="18"/>
                <w:lang w:val="es-MX"/>
              </w:rPr>
            </w:pPr>
            <w:r w:rsidRPr="009C2A65">
              <w:rPr>
                <w:rFonts w:ascii="Arial" w:hAnsi="Arial" w:cs="Arial"/>
                <w:sz w:val="18"/>
                <w:szCs w:val="18"/>
              </w:rPr>
              <w:t>Hoja de vida de cada bien que incluya registro fotográfico de los bienes constatados</w:t>
            </w:r>
          </w:p>
          <w:p w14:paraId="5DC821D4" w14:textId="77777777" w:rsidR="00A1747A" w:rsidRPr="009C2A65" w:rsidRDefault="00A1747A" w:rsidP="00A1747A">
            <w:pPr>
              <w:pStyle w:val="Prrafodelista"/>
              <w:numPr>
                <w:ilvl w:val="0"/>
                <w:numId w:val="10"/>
              </w:numPr>
              <w:suppressAutoHyphens/>
              <w:ind w:left="447" w:hanging="283"/>
              <w:contextualSpacing w:val="0"/>
              <w:jc w:val="both"/>
              <w:rPr>
                <w:rFonts w:ascii="Arial" w:hAnsi="Arial" w:cs="Arial"/>
                <w:b/>
                <w:color w:val="000000"/>
                <w:spacing w:val="-3"/>
                <w:sz w:val="18"/>
                <w:szCs w:val="18"/>
                <w:lang w:val="es-MX"/>
              </w:rPr>
            </w:pPr>
            <w:r w:rsidRPr="009C2A65">
              <w:rPr>
                <w:rFonts w:ascii="Arial" w:hAnsi="Arial" w:cs="Arial"/>
                <w:sz w:val="18"/>
                <w:szCs w:val="18"/>
              </w:rPr>
              <w:t>Informe de constatación física, en donde se incluya la consolidación entre la información entregada por la EPMTPQ, vs el inventario físico que se levantarán por parte del servicio especializado contratado, para determinar activos sobrantes y faltantes.</w:t>
            </w:r>
          </w:p>
          <w:p w14:paraId="61C69DBA" w14:textId="77777777" w:rsidR="00A1747A" w:rsidRPr="009C2A65" w:rsidRDefault="00A1747A" w:rsidP="00A1747A">
            <w:pPr>
              <w:pStyle w:val="Prrafodelista"/>
              <w:tabs>
                <w:tab w:val="left" w:pos="2552"/>
              </w:tabs>
              <w:ind w:left="709"/>
              <w:rPr>
                <w:rFonts w:ascii="Arial" w:hAnsi="Arial" w:cs="Arial"/>
                <w:sz w:val="18"/>
                <w:szCs w:val="18"/>
              </w:rPr>
            </w:pPr>
          </w:p>
          <w:p w14:paraId="1B9DCF00" w14:textId="77777777" w:rsidR="00A1747A" w:rsidRPr="009C2A65" w:rsidRDefault="00A1747A" w:rsidP="00A1747A">
            <w:pPr>
              <w:suppressAutoHyphens/>
              <w:ind w:left="306"/>
              <w:rPr>
                <w:rFonts w:ascii="Arial" w:eastAsia="Times New Roman" w:hAnsi="Arial" w:cs="Arial"/>
                <w:b/>
                <w:color w:val="000000"/>
                <w:spacing w:val="-3"/>
                <w:sz w:val="18"/>
                <w:szCs w:val="18"/>
                <w:lang w:val="es-MX"/>
              </w:rPr>
            </w:pPr>
            <w:r w:rsidRPr="009C2A65">
              <w:rPr>
                <w:rFonts w:ascii="Arial" w:eastAsia="Times New Roman" w:hAnsi="Arial" w:cs="Arial"/>
                <w:b/>
                <w:color w:val="000000"/>
                <w:spacing w:val="-3"/>
                <w:sz w:val="18"/>
                <w:szCs w:val="18"/>
                <w:lang w:val="es-MX"/>
              </w:rPr>
              <w:t>Producto 2:</w:t>
            </w:r>
          </w:p>
          <w:p w14:paraId="0DEE8811" w14:textId="77777777" w:rsidR="00A1747A" w:rsidRPr="009C2A65" w:rsidRDefault="00A1747A" w:rsidP="00A1747A">
            <w:pPr>
              <w:suppressAutoHyphens/>
              <w:ind w:left="306"/>
              <w:rPr>
                <w:rFonts w:ascii="Arial" w:eastAsia="Times New Roman" w:hAnsi="Arial" w:cs="Arial"/>
                <w:b/>
                <w:color w:val="000000"/>
                <w:spacing w:val="-3"/>
                <w:sz w:val="18"/>
                <w:szCs w:val="18"/>
                <w:lang w:val="es-MX"/>
              </w:rPr>
            </w:pPr>
          </w:p>
          <w:p w14:paraId="101AF218" w14:textId="079B1086" w:rsidR="00A1747A" w:rsidRPr="009C2A65" w:rsidRDefault="00A1747A" w:rsidP="00A1747A">
            <w:pPr>
              <w:suppressAutoHyphens/>
              <w:ind w:left="306"/>
              <w:rPr>
                <w:rFonts w:ascii="Arial" w:eastAsia="Times New Roman" w:hAnsi="Arial" w:cs="Arial"/>
                <w:bCs/>
                <w:color w:val="000000"/>
                <w:spacing w:val="-3"/>
                <w:sz w:val="18"/>
                <w:szCs w:val="18"/>
                <w:lang w:val="es-MX"/>
              </w:rPr>
            </w:pPr>
            <w:r w:rsidRPr="009C2A65">
              <w:rPr>
                <w:rFonts w:ascii="Arial" w:hAnsi="Arial" w:cs="Arial"/>
                <w:sz w:val="18"/>
                <w:szCs w:val="18"/>
              </w:rPr>
              <w:t>Valoración y revalorización de bienes de propiedad planta y equipo de propiedad de la Empresa Pública</w:t>
            </w:r>
            <w:r w:rsidRPr="009C2A65">
              <w:rPr>
                <w:rFonts w:ascii="Arial" w:hAnsi="Arial" w:cs="Arial"/>
                <w:sz w:val="18"/>
                <w:szCs w:val="18"/>
              </w:rPr>
              <w:t xml:space="preserve"> </w:t>
            </w:r>
            <w:r w:rsidRPr="009C2A65">
              <w:rPr>
                <w:rFonts w:ascii="Arial" w:hAnsi="Arial" w:cs="Arial"/>
                <w:sz w:val="18"/>
                <w:szCs w:val="18"/>
              </w:rPr>
              <w:t>Metropolitana de Transporte de Pasajeros de Quito</w:t>
            </w:r>
            <w:r w:rsidRPr="009C2A65">
              <w:rPr>
                <w:rFonts w:ascii="Arial" w:eastAsia="Times New Roman" w:hAnsi="Arial" w:cs="Arial"/>
                <w:bCs/>
                <w:color w:val="000000"/>
                <w:spacing w:val="-3"/>
                <w:sz w:val="18"/>
                <w:szCs w:val="18"/>
                <w:lang w:val="es-MX"/>
              </w:rPr>
              <w:t>.</w:t>
            </w:r>
          </w:p>
          <w:p w14:paraId="1D2B70D0" w14:textId="77777777" w:rsidR="00A1747A" w:rsidRPr="009C2A65" w:rsidRDefault="00A1747A" w:rsidP="00A1747A">
            <w:pPr>
              <w:suppressAutoHyphens/>
              <w:ind w:left="306"/>
              <w:rPr>
                <w:rFonts w:ascii="Arial" w:eastAsia="Times New Roman" w:hAnsi="Arial" w:cs="Arial"/>
                <w:bCs/>
                <w:color w:val="000000"/>
                <w:spacing w:val="-3"/>
                <w:sz w:val="18"/>
                <w:szCs w:val="18"/>
                <w:lang w:val="es-MX"/>
              </w:rPr>
            </w:pPr>
          </w:p>
          <w:p w14:paraId="3416D639" w14:textId="77777777" w:rsidR="00A1747A" w:rsidRPr="009C2A65" w:rsidRDefault="00A1747A" w:rsidP="00A1747A">
            <w:pPr>
              <w:suppressAutoHyphens/>
              <w:ind w:left="306"/>
              <w:rPr>
                <w:rFonts w:ascii="Arial" w:eastAsia="Times New Roman" w:hAnsi="Arial" w:cs="Arial"/>
                <w:b/>
                <w:color w:val="000000"/>
                <w:spacing w:val="-3"/>
                <w:sz w:val="18"/>
                <w:szCs w:val="18"/>
                <w:lang w:val="es-MX"/>
              </w:rPr>
            </w:pPr>
          </w:p>
          <w:p w14:paraId="08C83C43" w14:textId="77777777" w:rsidR="00A1747A" w:rsidRPr="009C2A65" w:rsidRDefault="00A1747A" w:rsidP="00A1747A">
            <w:pPr>
              <w:suppressAutoHyphens/>
              <w:ind w:left="306"/>
              <w:rPr>
                <w:rFonts w:ascii="Arial" w:eastAsia="Times New Roman" w:hAnsi="Arial" w:cs="Arial"/>
                <w:b/>
                <w:color w:val="000000"/>
                <w:spacing w:val="-3"/>
                <w:sz w:val="18"/>
                <w:szCs w:val="18"/>
                <w:lang w:val="es-MX"/>
              </w:rPr>
            </w:pPr>
          </w:p>
          <w:p w14:paraId="50396603" w14:textId="77777777" w:rsidR="00A1747A" w:rsidRPr="009C2A65" w:rsidRDefault="00A1747A" w:rsidP="00A1747A">
            <w:pPr>
              <w:suppressAutoHyphens/>
              <w:ind w:left="306"/>
              <w:rPr>
                <w:rFonts w:ascii="Arial" w:eastAsia="Times New Roman" w:hAnsi="Arial" w:cs="Arial"/>
                <w:b/>
                <w:color w:val="000000"/>
                <w:spacing w:val="-3"/>
                <w:sz w:val="18"/>
                <w:szCs w:val="18"/>
                <w:lang w:val="es-MX"/>
              </w:rPr>
            </w:pPr>
          </w:p>
          <w:p w14:paraId="74C633F2" w14:textId="04BC8B51" w:rsidR="00A1747A" w:rsidRPr="009C2A65" w:rsidRDefault="00A1747A" w:rsidP="00A1747A">
            <w:pPr>
              <w:suppressAutoHyphens/>
              <w:ind w:left="306"/>
              <w:rPr>
                <w:rFonts w:ascii="Arial" w:eastAsia="Times New Roman" w:hAnsi="Arial" w:cs="Arial"/>
                <w:b/>
                <w:color w:val="000000"/>
                <w:spacing w:val="-3"/>
                <w:sz w:val="18"/>
                <w:szCs w:val="18"/>
                <w:lang w:val="es-MX"/>
              </w:rPr>
            </w:pPr>
            <w:r w:rsidRPr="009C2A65">
              <w:rPr>
                <w:rFonts w:ascii="Arial" w:eastAsia="Times New Roman" w:hAnsi="Arial" w:cs="Arial"/>
                <w:b/>
                <w:color w:val="000000"/>
                <w:spacing w:val="-3"/>
                <w:sz w:val="18"/>
                <w:szCs w:val="18"/>
                <w:lang w:val="es-MX"/>
              </w:rPr>
              <w:lastRenderedPageBreak/>
              <w:t>Entregable 2:</w:t>
            </w:r>
          </w:p>
          <w:p w14:paraId="5EC078BC" w14:textId="77777777" w:rsidR="00A1747A" w:rsidRPr="009C2A65" w:rsidRDefault="00A1747A" w:rsidP="00A1747A">
            <w:pPr>
              <w:suppressAutoHyphens/>
              <w:ind w:left="306"/>
              <w:rPr>
                <w:rFonts w:ascii="Arial" w:eastAsia="Times New Roman" w:hAnsi="Arial" w:cs="Arial"/>
                <w:b/>
                <w:color w:val="000000"/>
                <w:spacing w:val="-3"/>
                <w:sz w:val="18"/>
                <w:szCs w:val="18"/>
                <w:lang w:val="es-MX"/>
              </w:rPr>
            </w:pPr>
          </w:p>
          <w:p w14:paraId="72C3B1B7" w14:textId="77777777" w:rsidR="00A1747A" w:rsidRPr="009C2A65" w:rsidRDefault="00A1747A" w:rsidP="00A1747A">
            <w:pPr>
              <w:pStyle w:val="Prrafodelista"/>
              <w:numPr>
                <w:ilvl w:val="0"/>
                <w:numId w:val="11"/>
              </w:numPr>
              <w:suppressAutoHyphens/>
              <w:ind w:left="447" w:hanging="141"/>
              <w:contextualSpacing w:val="0"/>
              <w:jc w:val="both"/>
              <w:rPr>
                <w:rFonts w:ascii="Arial" w:hAnsi="Arial" w:cs="Arial"/>
                <w:b/>
                <w:color w:val="000000"/>
                <w:spacing w:val="-3"/>
                <w:sz w:val="18"/>
                <w:szCs w:val="18"/>
                <w:lang w:val="es-MX"/>
              </w:rPr>
            </w:pPr>
            <w:r w:rsidRPr="009C2A65">
              <w:rPr>
                <w:rFonts w:ascii="Arial" w:hAnsi="Arial" w:cs="Arial"/>
                <w:sz w:val="18"/>
                <w:szCs w:val="18"/>
              </w:rPr>
              <w:t>Metodología para el desarrollo de la consultoría que incluya el sustento técnico con el cual se implementará la revalorización y avalúo.</w:t>
            </w:r>
          </w:p>
          <w:p w14:paraId="58859B69" w14:textId="77777777" w:rsidR="00A1747A" w:rsidRPr="009C2A65" w:rsidRDefault="00A1747A" w:rsidP="00A1747A">
            <w:pPr>
              <w:pStyle w:val="Prrafodelista"/>
              <w:numPr>
                <w:ilvl w:val="0"/>
                <w:numId w:val="11"/>
              </w:numPr>
              <w:suppressAutoHyphens/>
              <w:ind w:left="447" w:hanging="141"/>
              <w:contextualSpacing w:val="0"/>
              <w:jc w:val="both"/>
              <w:rPr>
                <w:rFonts w:ascii="Arial" w:hAnsi="Arial" w:cs="Arial"/>
                <w:b/>
                <w:color w:val="000000"/>
                <w:spacing w:val="-3"/>
                <w:sz w:val="18"/>
                <w:szCs w:val="18"/>
                <w:lang w:val="es-MX"/>
              </w:rPr>
            </w:pPr>
            <w:r w:rsidRPr="009C2A65">
              <w:rPr>
                <w:rFonts w:ascii="Arial" w:hAnsi="Arial" w:cs="Arial"/>
                <w:sz w:val="18"/>
                <w:szCs w:val="18"/>
              </w:rPr>
              <w:t>Informes del perito avaluador de los bienes muebles e inmuebles de propiedad de la EPMTPQ, en el cual conste los bienes de larga duración valorizados y revalorizados.</w:t>
            </w:r>
          </w:p>
          <w:p w14:paraId="18A7F492" w14:textId="77777777" w:rsidR="00A1747A" w:rsidRPr="009C2A65" w:rsidRDefault="00A1747A" w:rsidP="00A1747A">
            <w:pPr>
              <w:pStyle w:val="Prrafodelista"/>
              <w:numPr>
                <w:ilvl w:val="0"/>
                <w:numId w:val="11"/>
              </w:numPr>
              <w:suppressAutoHyphens/>
              <w:ind w:left="447" w:hanging="141"/>
              <w:contextualSpacing w:val="0"/>
              <w:jc w:val="both"/>
              <w:rPr>
                <w:rFonts w:ascii="Arial" w:hAnsi="Arial" w:cs="Arial"/>
                <w:b/>
                <w:color w:val="000000"/>
                <w:spacing w:val="-3"/>
                <w:sz w:val="18"/>
                <w:szCs w:val="18"/>
                <w:lang w:val="es-MX"/>
              </w:rPr>
            </w:pPr>
            <w:r w:rsidRPr="009C2A65">
              <w:rPr>
                <w:rFonts w:ascii="Arial" w:hAnsi="Arial" w:cs="Arial"/>
                <w:sz w:val="18"/>
                <w:szCs w:val="18"/>
              </w:rPr>
              <w:t>Detalle de los bienes inmuebles revalorizados, es importante considerar lo siguiente:</w:t>
            </w:r>
          </w:p>
          <w:p w14:paraId="3BEDF079" w14:textId="77777777" w:rsidR="00A1747A" w:rsidRPr="009C2A65" w:rsidRDefault="00A1747A" w:rsidP="00A1747A">
            <w:pPr>
              <w:pStyle w:val="Prrafodelista"/>
              <w:numPr>
                <w:ilvl w:val="0"/>
                <w:numId w:val="12"/>
              </w:numPr>
              <w:autoSpaceDE w:val="0"/>
              <w:autoSpaceDN w:val="0"/>
              <w:adjustRightInd w:val="0"/>
              <w:ind w:left="731" w:hanging="284"/>
              <w:jc w:val="both"/>
              <w:rPr>
                <w:rFonts w:ascii="Arial" w:hAnsi="Arial" w:cs="Arial"/>
                <w:sz w:val="18"/>
                <w:szCs w:val="18"/>
              </w:rPr>
            </w:pPr>
            <w:r w:rsidRPr="009C2A65">
              <w:rPr>
                <w:rFonts w:ascii="Arial" w:hAnsi="Arial" w:cs="Arial"/>
                <w:sz w:val="18"/>
                <w:szCs w:val="18"/>
              </w:rPr>
              <w:t>Dentro del grupo de activos del grupo edificios, se encuentran en un solo código 11 paradas que no cuentan con valores individuales, de acuerdo con el Acta Entrega Recepción Definitiva, fueron registradas con un valor global; por lo que es necesario conocer el valor individual de cada una de la infraestructura de las paradas.</w:t>
            </w:r>
          </w:p>
          <w:p w14:paraId="360EBEC6" w14:textId="21956CD9" w:rsidR="00A1747A" w:rsidRPr="009C2A65" w:rsidRDefault="00A1747A" w:rsidP="00A1747A">
            <w:pPr>
              <w:pStyle w:val="Prrafodelista"/>
              <w:numPr>
                <w:ilvl w:val="0"/>
                <w:numId w:val="11"/>
              </w:numPr>
              <w:suppressAutoHyphens/>
              <w:ind w:left="447" w:hanging="141"/>
              <w:contextualSpacing w:val="0"/>
              <w:jc w:val="both"/>
              <w:rPr>
                <w:rFonts w:ascii="Arial" w:hAnsi="Arial" w:cs="Arial"/>
                <w:sz w:val="18"/>
                <w:szCs w:val="18"/>
              </w:rPr>
            </w:pPr>
            <w:r w:rsidRPr="009C2A65">
              <w:rPr>
                <w:rFonts w:ascii="Arial" w:hAnsi="Arial" w:cs="Arial"/>
                <w:sz w:val="18"/>
                <w:szCs w:val="18"/>
              </w:rPr>
              <w:t xml:space="preserve">La EPMTPQ se encuentra haciendo uso de 21 paradas que conforman el Corredor Ecovía y el Corredor Sur Oriental, y es necesario que sean revalorizadas, </w:t>
            </w:r>
            <w:bookmarkStart w:id="1" w:name="_Hlk173176879"/>
            <w:r w:rsidRPr="009C2A65">
              <w:rPr>
                <w:rFonts w:ascii="Arial" w:hAnsi="Arial" w:cs="Arial"/>
                <w:sz w:val="18"/>
                <w:szCs w:val="18"/>
              </w:rPr>
              <w:t>las mismas están ingresadas en el Grupo Bienes en Tránsito, esto con el fin de conocer el valor actual</w:t>
            </w:r>
            <w:bookmarkEnd w:id="1"/>
            <w:r w:rsidRPr="009C2A65">
              <w:rPr>
                <w:rFonts w:ascii="Arial" w:hAnsi="Arial" w:cs="Arial"/>
                <w:sz w:val="18"/>
                <w:szCs w:val="18"/>
              </w:rPr>
              <w:t>, además que la EPMTPQ se encuentra haciendo uso de la infraestructura, esto de conformidad con lo dispuesto en la Resolución Nro. 011-SM-2012, Detalle de los bienes muebles revalorizados.</w:t>
            </w:r>
          </w:p>
          <w:p w14:paraId="6EB9810E" w14:textId="77777777" w:rsidR="00A1747A" w:rsidRPr="009C2A65" w:rsidRDefault="00A1747A" w:rsidP="00A1747A">
            <w:pPr>
              <w:pStyle w:val="Prrafodelista"/>
              <w:numPr>
                <w:ilvl w:val="0"/>
                <w:numId w:val="11"/>
              </w:numPr>
              <w:suppressAutoHyphens/>
              <w:ind w:left="447" w:hanging="141"/>
              <w:contextualSpacing w:val="0"/>
              <w:jc w:val="both"/>
              <w:rPr>
                <w:rFonts w:ascii="Arial" w:hAnsi="Arial" w:cs="Arial"/>
                <w:sz w:val="18"/>
                <w:szCs w:val="18"/>
              </w:rPr>
            </w:pPr>
            <w:r w:rsidRPr="009C2A65">
              <w:rPr>
                <w:rFonts w:ascii="Arial" w:hAnsi="Arial" w:cs="Arial"/>
                <w:sz w:val="18"/>
                <w:szCs w:val="18"/>
              </w:rPr>
              <w:t>Informe Técnico en donde se definan y señalen los bienes a ser considerados para Baja, que incluya el proceso de baja a desarrollarse en cada caso, deberá contener la clasificación, como bienes obsoletos, inservibles y fuera de uso, a los que se agregará la correspondiente recomendación de egreso para la aplicación de los procedimientos de registro y baja.</w:t>
            </w:r>
          </w:p>
          <w:p w14:paraId="5D98DFBC" w14:textId="77777777" w:rsidR="00A1747A" w:rsidRPr="009C2A65" w:rsidRDefault="00A1747A" w:rsidP="00A1747A">
            <w:pPr>
              <w:pStyle w:val="Prrafodelista"/>
              <w:ind w:left="1429"/>
              <w:rPr>
                <w:rFonts w:ascii="Arial" w:hAnsi="Arial" w:cs="Arial"/>
                <w:b/>
                <w:color w:val="000000"/>
                <w:spacing w:val="-3"/>
                <w:sz w:val="18"/>
                <w:szCs w:val="18"/>
                <w:lang w:val="es-MX"/>
              </w:rPr>
            </w:pPr>
          </w:p>
          <w:p w14:paraId="4CCC0DA2" w14:textId="77777777" w:rsidR="00A1747A" w:rsidRPr="009C2A65" w:rsidRDefault="00A1747A" w:rsidP="00A1747A">
            <w:pPr>
              <w:suppressAutoHyphens/>
              <w:ind w:left="306"/>
              <w:rPr>
                <w:rFonts w:ascii="Arial" w:eastAsia="Times New Roman" w:hAnsi="Arial" w:cs="Arial"/>
                <w:b/>
                <w:color w:val="000000"/>
                <w:spacing w:val="-3"/>
                <w:sz w:val="18"/>
                <w:szCs w:val="18"/>
                <w:lang w:val="es-MX"/>
              </w:rPr>
            </w:pPr>
            <w:r w:rsidRPr="009C2A65">
              <w:rPr>
                <w:rFonts w:ascii="Arial" w:eastAsia="Times New Roman" w:hAnsi="Arial" w:cs="Arial"/>
                <w:b/>
                <w:color w:val="000000"/>
                <w:spacing w:val="-3"/>
                <w:sz w:val="18"/>
                <w:szCs w:val="18"/>
                <w:lang w:val="es-MX"/>
              </w:rPr>
              <w:t>Producto 3:</w:t>
            </w:r>
          </w:p>
          <w:p w14:paraId="1206CC17" w14:textId="77777777" w:rsidR="00A1747A" w:rsidRPr="009C2A65" w:rsidRDefault="00A1747A" w:rsidP="00A1747A">
            <w:pPr>
              <w:suppressAutoHyphens/>
              <w:ind w:left="709"/>
              <w:rPr>
                <w:rFonts w:ascii="Arial" w:eastAsia="Times New Roman" w:hAnsi="Arial" w:cs="Arial"/>
                <w:b/>
                <w:color w:val="000000"/>
                <w:spacing w:val="-3"/>
                <w:sz w:val="18"/>
                <w:szCs w:val="18"/>
                <w:lang w:val="es-MX"/>
              </w:rPr>
            </w:pPr>
          </w:p>
          <w:p w14:paraId="4B33CDA0" w14:textId="77777777" w:rsidR="00A1747A" w:rsidRPr="009C2A65" w:rsidRDefault="00A1747A" w:rsidP="00A1747A">
            <w:pPr>
              <w:suppressAutoHyphens/>
              <w:ind w:left="306"/>
              <w:rPr>
                <w:rFonts w:ascii="Arial" w:hAnsi="Arial" w:cs="Arial"/>
                <w:sz w:val="18"/>
                <w:szCs w:val="18"/>
              </w:rPr>
            </w:pPr>
            <w:r w:rsidRPr="009C2A65">
              <w:rPr>
                <w:rFonts w:ascii="Arial" w:hAnsi="Arial" w:cs="Arial"/>
                <w:sz w:val="18"/>
                <w:szCs w:val="18"/>
              </w:rPr>
              <w:t>Informes ejecutivos proceso de constatación física y valoración y revalorización de bienes de propiedad planta y equipo de la Empresa Pública Metropolitana de Transporte de Pasajeros de Quito.</w:t>
            </w:r>
          </w:p>
          <w:p w14:paraId="3F2BCEE3" w14:textId="77777777" w:rsidR="00A1747A" w:rsidRPr="009C2A65" w:rsidRDefault="00A1747A" w:rsidP="00A1747A">
            <w:pPr>
              <w:suppressAutoHyphens/>
              <w:ind w:left="709"/>
              <w:rPr>
                <w:rFonts w:ascii="Arial" w:eastAsia="Times New Roman" w:hAnsi="Arial" w:cs="Arial"/>
                <w:bCs/>
                <w:color w:val="000000"/>
                <w:spacing w:val="-3"/>
                <w:sz w:val="18"/>
                <w:szCs w:val="18"/>
                <w:lang w:val="es-MX"/>
              </w:rPr>
            </w:pPr>
          </w:p>
          <w:p w14:paraId="1D6461CC" w14:textId="77777777" w:rsidR="00A1747A" w:rsidRPr="009C2A65" w:rsidRDefault="00A1747A" w:rsidP="00A1747A">
            <w:pPr>
              <w:suppressAutoHyphens/>
              <w:ind w:left="306"/>
              <w:rPr>
                <w:rFonts w:ascii="Arial" w:eastAsia="Times New Roman" w:hAnsi="Arial" w:cs="Arial"/>
                <w:b/>
                <w:color w:val="000000"/>
                <w:spacing w:val="-3"/>
                <w:sz w:val="18"/>
                <w:szCs w:val="18"/>
                <w:lang w:val="es-MX"/>
              </w:rPr>
            </w:pPr>
            <w:r w:rsidRPr="009C2A65">
              <w:rPr>
                <w:rFonts w:ascii="Arial" w:eastAsia="Times New Roman" w:hAnsi="Arial" w:cs="Arial"/>
                <w:b/>
                <w:color w:val="000000"/>
                <w:spacing w:val="-3"/>
                <w:sz w:val="18"/>
                <w:szCs w:val="18"/>
                <w:lang w:val="es-MX"/>
              </w:rPr>
              <w:t>Entregable 3:</w:t>
            </w:r>
          </w:p>
          <w:p w14:paraId="789EB927" w14:textId="77777777" w:rsidR="00A1747A" w:rsidRPr="009C2A65" w:rsidRDefault="00A1747A" w:rsidP="00A1747A">
            <w:pPr>
              <w:suppressAutoHyphens/>
              <w:ind w:left="306"/>
              <w:rPr>
                <w:rFonts w:ascii="Arial" w:eastAsia="Times New Roman" w:hAnsi="Arial" w:cs="Arial"/>
                <w:b/>
                <w:color w:val="000000"/>
                <w:spacing w:val="-3"/>
                <w:sz w:val="18"/>
                <w:szCs w:val="18"/>
                <w:lang w:val="es-MX"/>
              </w:rPr>
            </w:pPr>
          </w:p>
          <w:p w14:paraId="2F088D73" w14:textId="77777777" w:rsidR="00A1747A" w:rsidRPr="009C2A65" w:rsidRDefault="00A1747A" w:rsidP="00A1747A">
            <w:pPr>
              <w:pStyle w:val="Prrafodelista"/>
              <w:numPr>
                <w:ilvl w:val="0"/>
                <w:numId w:val="11"/>
              </w:numPr>
              <w:suppressAutoHyphens/>
              <w:ind w:left="447" w:hanging="141"/>
              <w:contextualSpacing w:val="0"/>
              <w:jc w:val="both"/>
              <w:rPr>
                <w:rFonts w:ascii="Arial" w:hAnsi="Arial" w:cs="Arial"/>
                <w:sz w:val="18"/>
                <w:szCs w:val="18"/>
              </w:rPr>
            </w:pPr>
            <w:r w:rsidRPr="009C2A65">
              <w:rPr>
                <w:rFonts w:ascii="Arial" w:hAnsi="Arial" w:cs="Arial"/>
                <w:sz w:val="18"/>
                <w:szCs w:val="18"/>
              </w:rPr>
              <w:t>Informe ejecutivo consolidado del proceso de constatación, conciliación que incluye el listado de bienes faltantes o no constatados y sobrantes, y revalorización de los bienes de Propiedad de Planta y Equipo; además de su revalorización, la homogenización de la descripción de los bienes; en caso de bienes sobrantes estos deberán ser incorporados como parte del patrimonio institucional.</w:t>
            </w:r>
          </w:p>
          <w:p w14:paraId="76275369" w14:textId="77777777" w:rsidR="00A1747A" w:rsidRPr="009C2A65" w:rsidRDefault="00A1747A" w:rsidP="00A1747A">
            <w:pPr>
              <w:pStyle w:val="Prrafodelista"/>
              <w:numPr>
                <w:ilvl w:val="0"/>
                <w:numId w:val="11"/>
              </w:numPr>
              <w:suppressAutoHyphens/>
              <w:ind w:left="447" w:hanging="141"/>
              <w:contextualSpacing w:val="0"/>
              <w:jc w:val="both"/>
              <w:rPr>
                <w:rFonts w:ascii="Arial" w:hAnsi="Arial" w:cs="Arial"/>
                <w:sz w:val="18"/>
                <w:szCs w:val="18"/>
              </w:rPr>
            </w:pPr>
            <w:r w:rsidRPr="009C2A65">
              <w:rPr>
                <w:rFonts w:ascii="Arial" w:hAnsi="Arial" w:cs="Arial"/>
                <w:sz w:val="18"/>
                <w:szCs w:val="18"/>
              </w:rPr>
              <w:t>Archivo plano con los resultados obtenidos producto de la consultoría para la migración por parte de la EPMTPQ a los sistemas de la empresa, con los campos que se requiera.</w:t>
            </w:r>
          </w:p>
          <w:p w14:paraId="7FE1F9CE" w14:textId="77777777" w:rsidR="009C2A65" w:rsidRPr="009C2A65" w:rsidRDefault="00A1747A" w:rsidP="009C2A65">
            <w:pPr>
              <w:pStyle w:val="Prrafodelista"/>
              <w:numPr>
                <w:ilvl w:val="0"/>
                <w:numId w:val="11"/>
              </w:numPr>
              <w:suppressAutoHyphens/>
              <w:ind w:left="447" w:hanging="141"/>
              <w:contextualSpacing w:val="0"/>
              <w:jc w:val="both"/>
              <w:rPr>
                <w:rFonts w:ascii="Arial" w:hAnsi="Arial" w:cs="Arial"/>
                <w:sz w:val="18"/>
                <w:szCs w:val="18"/>
              </w:rPr>
            </w:pPr>
            <w:r w:rsidRPr="009C2A65">
              <w:rPr>
                <w:rFonts w:ascii="Arial" w:hAnsi="Arial" w:cs="Arial"/>
                <w:sz w:val="18"/>
                <w:szCs w:val="18"/>
              </w:rPr>
              <w:t>Actas de constatación física de los bienes de Propiedad Planta y Equipo, por cada custodio, las mismas que deberán contener las características atribuibles a cada bien.</w:t>
            </w:r>
          </w:p>
          <w:p w14:paraId="6F386614" w14:textId="388FCE16" w:rsidR="00A1747A" w:rsidRPr="009C2A65" w:rsidRDefault="00A1747A" w:rsidP="009C2A65">
            <w:pPr>
              <w:pStyle w:val="Prrafodelista"/>
              <w:numPr>
                <w:ilvl w:val="0"/>
                <w:numId w:val="11"/>
              </w:numPr>
              <w:suppressAutoHyphens/>
              <w:ind w:left="447" w:hanging="141"/>
              <w:contextualSpacing w:val="0"/>
              <w:jc w:val="both"/>
              <w:rPr>
                <w:rFonts w:ascii="Arial" w:hAnsi="Arial" w:cs="Arial"/>
                <w:sz w:val="18"/>
                <w:szCs w:val="18"/>
              </w:rPr>
            </w:pPr>
            <w:r w:rsidRPr="009C2A65">
              <w:rPr>
                <w:rFonts w:ascii="Arial" w:hAnsi="Arial" w:cs="Arial"/>
                <w:sz w:val="18"/>
                <w:szCs w:val="18"/>
              </w:rPr>
              <w:t>Propuesta de asientos contables producto de la revalorización, aplicando la NICSP, normativa emitida por la Subsecretaría de Contabilidad Gubernamental del Ministerio de Economía y Finanzas, el Instructivo para el Proceso de Revalorización, el Código Orgánico de Planificación y Finanzas Públicas y su Reglamento y la Normas Técnica de Contabilidad Gubernamental.</w:t>
            </w:r>
          </w:p>
          <w:p w14:paraId="61B10167" w14:textId="77777777" w:rsidR="00A1747A" w:rsidRPr="009C2A65" w:rsidRDefault="00A1747A" w:rsidP="009C2A65">
            <w:pPr>
              <w:pStyle w:val="Prrafodelista"/>
              <w:numPr>
                <w:ilvl w:val="0"/>
                <w:numId w:val="11"/>
              </w:numPr>
              <w:suppressAutoHyphens/>
              <w:ind w:left="447" w:hanging="141"/>
              <w:contextualSpacing w:val="0"/>
              <w:jc w:val="both"/>
              <w:rPr>
                <w:rFonts w:ascii="Arial" w:hAnsi="Arial" w:cs="Arial"/>
                <w:sz w:val="18"/>
                <w:szCs w:val="18"/>
              </w:rPr>
            </w:pPr>
            <w:r w:rsidRPr="009C2A65">
              <w:rPr>
                <w:rFonts w:ascii="Arial" w:hAnsi="Arial" w:cs="Arial"/>
                <w:sz w:val="18"/>
                <w:szCs w:val="18"/>
              </w:rPr>
              <w:lastRenderedPageBreak/>
              <w:t>Política y procedimiento para calcular el registro de la provisión de deterioro de bienes de larga duración con la finalidad de conciliar saldos y presentar razonablemente las cifras en los estados financieros.</w:t>
            </w:r>
          </w:p>
          <w:p w14:paraId="5E8FBB3C" w14:textId="77777777" w:rsidR="00A1747A" w:rsidRPr="009C2A65" w:rsidRDefault="00A1747A" w:rsidP="009C2A65">
            <w:pPr>
              <w:pStyle w:val="Prrafodelista"/>
              <w:numPr>
                <w:ilvl w:val="0"/>
                <w:numId w:val="11"/>
              </w:numPr>
              <w:suppressAutoHyphens/>
              <w:ind w:left="447" w:hanging="141"/>
              <w:contextualSpacing w:val="0"/>
              <w:jc w:val="both"/>
              <w:rPr>
                <w:rFonts w:ascii="Arial" w:hAnsi="Arial" w:cs="Arial"/>
                <w:sz w:val="18"/>
                <w:szCs w:val="18"/>
              </w:rPr>
            </w:pPr>
            <w:r w:rsidRPr="009C2A65">
              <w:rPr>
                <w:rFonts w:ascii="Arial" w:hAnsi="Arial" w:cs="Arial"/>
                <w:sz w:val="18"/>
                <w:szCs w:val="18"/>
              </w:rPr>
              <w:t>Informe de Asientos de Ajustes de reclasificación de los bienes de propiedad de la Empresa Pública Metropolitana de Transporte de Pasajeros</w:t>
            </w:r>
            <w:bookmarkEnd w:id="0"/>
            <w:r w:rsidRPr="009C2A65">
              <w:rPr>
                <w:rFonts w:ascii="Arial" w:hAnsi="Arial" w:cs="Arial"/>
                <w:sz w:val="18"/>
                <w:szCs w:val="18"/>
              </w:rPr>
              <w:t>, según su naturaleza.</w:t>
            </w:r>
          </w:p>
          <w:p w14:paraId="4B0EDF70" w14:textId="77777777" w:rsidR="00A1747A" w:rsidRPr="009C2A65" w:rsidRDefault="00A1747A" w:rsidP="009C2A65">
            <w:pPr>
              <w:pStyle w:val="Prrafodelista"/>
              <w:numPr>
                <w:ilvl w:val="0"/>
                <w:numId w:val="11"/>
              </w:numPr>
              <w:suppressAutoHyphens/>
              <w:ind w:left="447" w:hanging="141"/>
              <w:contextualSpacing w:val="0"/>
              <w:jc w:val="both"/>
              <w:rPr>
                <w:rFonts w:ascii="Arial" w:hAnsi="Arial" w:cs="Arial"/>
                <w:sz w:val="18"/>
                <w:szCs w:val="18"/>
              </w:rPr>
            </w:pPr>
            <w:r w:rsidRPr="009C2A65">
              <w:rPr>
                <w:rFonts w:ascii="Arial" w:hAnsi="Arial" w:cs="Arial"/>
                <w:sz w:val="18"/>
                <w:szCs w:val="18"/>
              </w:rPr>
              <w:t>Informe final que contenga un resumen consolidado de los 3 productos, con sus recomendaciones y conclusiones.</w:t>
            </w:r>
          </w:p>
          <w:p w14:paraId="149EA215" w14:textId="77777777" w:rsidR="00A1747A" w:rsidRPr="009C2A65" w:rsidRDefault="00A1747A" w:rsidP="00A1747A">
            <w:pPr>
              <w:tabs>
                <w:tab w:val="left" w:pos="2552"/>
              </w:tabs>
              <w:contextualSpacing/>
              <w:rPr>
                <w:rFonts w:ascii="Arial" w:hAnsi="Arial" w:cs="Arial"/>
                <w:sz w:val="18"/>
                <w:szCs w:val="18"/>
              </w:rPr>
            </w:pPr>
          </w:p>
          <w:p w14:paraId="24BCC3AA" w14:textId="77777777" w:rsidR="00A1747A" w:rsidRPr="009C2A65" w:rsidRDefault="00A1747A" w:rsidP="00A1747A">
            <w:pPr>
              <w:tabs>
                <w:tab w:val="left" w:pos="2552"/>
              </w:tabs>
              <w:contextualSpacing/>
              <w:rPr>
                <w:rFonts w:ascii="Arial" w:hAnsi="Arial" w:cs="Arial"/>
                <w:sz w:val="18"/>
                <w:szCs w:val="18"/>
              </w:rPr>
            </w:pPr>
            <w:r w:rsidRPr="009C2A65">
              <w:rPr>
                <w:rFonts w:ascii="Arial" w:hAnsi="Arial" w:cs="Arial"/>
                <w:sz w:val="18"/>
                <w:szCs w:val="18"/>
              </w:rPr>
              <w:t>Todos los informes se presentarán de manera digital con la respectiva firma electrónica, en formatos Office, o compatibles de ser el caso, además entregará lo mismo información en versión PDF.</w:t>
            </w:r>
          </w:p>
          <w:p w14:paraId="1DF5536A" w14:textId="36F69BFE" w:rsidR="00AE5321" w:rsidRPr="009C2A65" w:rsidRDefault="00AE5321" w:rsidP="00EC4340">
            <w:pPr>
              <w:pStyle w:val="Prrafodelista"/>
              <w:suppressAutoHyphens/>
              <w:ind w:left="459"/>
              <w:contextualSpacing w:val="0"/>
              <w:jc w:val="both"/>
              <w:rPr>
                <w:rFonts w:ascii="Arial" w:hAnsi="Arial" w:cs="Arial"/>
                <w:b/>
                <w:sz w:val="18"/>
                <w:szCs w:val="18"/>
              </w:rPr>
            </w:pPr>
          </w:p>
        </w:tc>
        <w:tc>
          <w:tcPr>
            <w:tcW w:w="1910" w:type="pct"/>
          </w:tcPr>
          <w:p w14:paraId="678DC5F9" w14:textId="77777777" w:rsidR="0093173E" w:rsidRPr="009C2A65" w:rsidRDefault="0093173E" w:rsidP="00DC4D92">
            <w:pPr>
              <w:pStyle w:val="Prrafodelista"/>
              <w:ind w:left="0"/>
              <w:jc w:val="both"/>
              <w:rPr>
                <w:rFonts w:ascii="Arial" w:hAnsi="Arial" w:cs="Arial"/>
                <w:b/>
                <w:color w:val="5B9BD5" w:themeColor="accent1"/>
                <w:sz w:val="18"/>
                <w:szCs w:val="18"/>
              </w:rPr>
            </w:pPr>
            <w:r w:rsidRPr="009C2A65">
              <w:rPr>
                <w:rFonts w:ascii="Arial" w:hAnsi="Arial" w:cs="Arial"/>
                <w:i/>
                <w:color w:val="5B9BD5" w:themeColor="accent1"/>
                <w:sz w:val="18"/>
                <w:szCs w:val="18"/>
              </w:rPr>
              <w:lastRenderedPageBreak/>
              <w:t>El proveedor debe señalar si cumple o no lo solicitado por la EPMTPQ</w:t>
            </w:r>
          </w:p>
        </w:tc>
      </w:tr>
    </w:tbl>
    <w:p w14:paraId="29286F88" w14:textId="77777777" w:rsidR="0093173E" w:rsidRPr="00EB057F" w:rsidRDefault="0093173E" w:rsidP="0093173E">
      <w:pPr>
        <w:pStyle w:val="Prrafodelista"/>
        <w:spacing w:after="0" w:line="240" w:lineRule="auto"/>
        <w:ind w:left="0"/>
        <w:rPr>
          <w:rFonts w:ascii="Arial" w:hAnsi="Arial" w:cs="Arial"/>
          <w:i/>
          <w:iCs/>
          <w:color w:val="5B9BD5" w:themeColor="accent1"/>
          <w:sz w:val="18"/>
          <w:szCs w:val="18"/>
        </w:rPr>
      </w:pPr>
    </w:p>
    <w:p w14:paraId="33A88AB2" w14:textId="58F88FB3" w:rsidR="00722BA2" w:rsidRPr="00EB057F" w:rsidRDefault="009C2A65" w:rsidP="00C2033B">
      <w:pPr>
        <w:jc w:val="both"/>
        <w:rPr>
          <w:rFonts w:ascii="Arial" w:hAnsi="Arial" w:cs="Arial"/>
          <w:b/>
          <w:bCs/>
          <w:sz w:val="18"/>
          <w:szCs w:val="18"/>
        </w:rPr>
      </w:pPr>
      <w:r>
        <w:rPr>
          <w:rFonts w:ascii="Arial" w:hAnsi="Arial" w:cs="Arial"/>
          <w:b/>
          <w:bCs/>
          <w:sz w:val="18"/>
          <w:szCs w:val="18"/>
        </w:rPr>
        <w:t>Costos de consultoría</w:t>
      </w:r>
      <w:r w:rsidR="00C2033B" w:rsidRPr="00EB057F">
        <w:rPr>
          <w:rFonts w:ascii="Arial" w:hAnsi="Arial" w:cs="Arial"/>
          <w:b/>
          <w:bCs/>
          <w:sz w:val="18"/>
          <w:szCs w:val="18"/>
        </w:rPr>
        <w:t>:</w:t>
      </w:r>
    </w:p>
    <w:tbl>
      <w:tblPr>
        <w:tblStyle w:val="Tablaconcuadrcula"/>
        <w:tblW w:w="5000" w:type="pct"/>
        <w:jc w:val="center"/>
        <w:tblLook w:val="04A0" w:firstRow="1" w:lastRow="0" w:firstColumn="1" w:lastColumn="0" w:noHBand="0" w:noVBand="1"/>
      </w:tblPr>
      <w:tblGrid>
        <w:gridCol w:w="5528"/>
        <w:gridCol w:w="2966"/>
      </w:tblGrid>
      <w:tr w:rsidR="000E63A1" w:rsidRPr="00EB057F" w14:paraId="3C7CF2B4" w14:textId="77777777" w:rsidTr="000E63A1">
        <w:trPr>
          <w:trHeight w:val="90"/>
          <w:jc w:val="center"/>
        </w:trPr>
        <w:tc>
          <w:tcPr>
            <w:tcW w:w="3254" w:type="pct"/>
          </w:tcPr>
          <w:p w14:paraId="63DDAEF0" w14:textId="2AE08FBD" w:rsidR="000E63A1" w:rsidRPr="00EB057F" w:rsidRDefault="000E63A1" w:rsidP="007452A7">
            <w:pPr>
              <w:pStyle w:val="Prrafodelista"/>
              <w:ind w:left="0"/>
              <w:jc w:val="both"/>
              <w:rPr>
                <w:rFonts w:ascii="Arial" w:hAnsi="Arial" w:cs="Arial"/>
                <w:b/>
                <w:sz w:val="18"/>
                <w:szCs w:val="18"/>
              </w:rPr>
            </w:pPr>
            <w:r w:rsidRPr="00EB057F">
              <w:rPr>
                <w:rFonts w:ascii="Arial" w:hAnsi="Arial" w:cs="Arial"/>
                <w:b/>
                <w:sz w:val="18"/>
                <w:szCs w:val="18"/>
              </w:rPr>
              <w:t>Descripción solicitada</w:t>
            </w:r>
          </w:p>
        </w:tc>
        <w:tc>
          <w:tcPr>
            <w:tcW w:w="1746" w:type="pct"/>
          </w:tcPr>
          <w:p w14:paraId="4A8D0770" w14:textId="69D96453" w:rsidR="000E63A1" w:rsidRPr="00EB057F" w:rsidRDefault="009C2A65" w:rsidP="007452A7">
            <w:pPr>
              <w:pStyle w:val="Prrafodelista"/>
              <w:ind w:left="0"/>
              <w:jc w:val="both"/>
              <w:rPr>
                <w:rFonts w:ascii="Arial" w:hAnsi="Arial" w:cs="Arial"/>
                <w:b/>
                <w:sz w:val="18"/>
                <w:szCs w:val="18"/>
              </w:rPr>
            </w:pPr>
            <w:r>
              <w:rPr>
                <w:rFonts w:ascii="Arial" w:hAnsi="Arial" w:cs="Arial"/>
                <w:b/>
                <w:sz w:val="18"/>
                <w:szCs w:val="18"/>
              </w:rPr>
              <w:t>Costos de consultoría</w:t>
            </w:r>
          </w:p>
        </w:tc>
      </w:tr>
      <w:tr w:rsidR="000E63A1" w:rsidRPr="00EB057F" w14:paraId="24D7217B" w14:textId="77777777" w:rsidTr="000E63A1">
        <w:trPr>
          <w:trHeight w:val="446"/>
          <w:jc w:val="center"/>
        </w:trPr>
        <w:tc>
          <w:tcPr>
            <w:tcW w:w="3254" w:type="pct"/>
          </w:tcPr>
          <w:p w14:paraId="398D8123" w14:textId="279EC0F5" w:rsidR="00B72498" w:rsidRPr="009C2A65" w:rsidRDefault="009C2A65" w:rsidP="009C2A65">
            <w:pPr>
              <w:tabs>
                <w:tab w:val="left" w:pos="2552"/>
              </w:tabs>
              <w:contextualSpacing/>
              <w:rPr>
                <w:rFonts w:ascii="Arial" w:hAnsi="Arial" w:cs="Arial"/>
                <w:iCs/>
                <w:sz w:val="18"/>
                <w:szCs w:val="18"/>
              </w:rPr>
            </w:pPr>
            <w:r>
              <w:rPr>
                <w:rFonts w:ascii="Arial" w:hAnsi="Arial" w:cs="Arial"/>
                <w:sz w:val="18"/>
                <w:szCs w:val="18"/>
              </w:rPr>
              <w:t>C</w:t>
            </w:r>
            <w:r w:rsidRPr="009C2A65">
              <w:rPr>
                <w:rFonts w:ascii="Arial" w:hAnsi="Arial" w:cs="Arial"/>
                <w:sz w:val="18"/>
                <w:szCs w:val="18"/>
              </w:rPr>
              <w:t>ostos directos, costos indirectos o gastos generales, honorarios o utilidad empresarial</w:t>
            </w:r>
          </w:p>
        </w:tc>
        <w:tc>
          <w:tcPr>
            <w:tcW w:w="1746" w:type="pct"/>
          </w:tcPr>
          <w:p w14:paraId="049FDE2E" w14:textId="6D924E83" w:rsidR="000E63A1" w:rsidRPr="00EB057F" w:rsidRDefault="000E63A1" w:rsidP="007452A7">
            <w:pPr>
              <w:pStyle w:val="Prrafodelista"/>
              <w:ind w:left="0"/>
              <w:jc w:val="both"/>
              <w:rPr>
                <w:rFonts w:ascii="Arial" w:hAnsi="Arial" w:cs="Arial"/>
                <w:i/>
                <w:color w:val="5B9BD5" w:themeColor="accent1"/>
                <w:sz w:val="18"/>
                <w:szCs w:val="18"/>
              </w:rPr>
            </w:pPr>
          </w:p>
        </w:tc>
      </w:tr>
    </w:tbl>
    <w:p w14:paraId="23EF6E3E" w14:textId="77777777" w:rsidR="009C2A65" w:rsidRDefault="009C2A65" w:rsidP="009C2A65">
      <w:pPr>
        <w:jc w:val="both"/>
        <w:rPr>
          <w:rFonts w:ascii="Arial" w:hAnsi="Arial" w:cs="Arial"/>
          <w:b/>
          <w:bCs/>
          <w:sz w:val="18"/>
          <w:szCs w:val="18"/>
        </w:rPr>
      </w:pPr>
    </w:p>
    <w:p w14:paraId="6C2C381C" w14:textId="5470FD9B" w:rsidR="00722BA2" w:rsidRPr="009C2A65" w:rsidRDefault="009C2A65" w:rsidP="009C2A65">
      <w:pPr>
        <w:jc w:val="both"/>
        <w:rPr>
          <w:rFonts w:ascii="Arial" w:hAnsi="Arial" w:cs="Arial"/>
          <w:b/>
          <w:bCs/>
          <w:sz w:val="18"/>
          <w:szCs w:val="18"/>
        </w:rPr>
      </w:pPr>
      <w:r w:rsidRPr="00EB057F">
        <w:rPr>
          <w:rFonts w:ascii="Arial" w:hAnsi="Arial" w:cs="Arial"/>
          <w:b/>
          <w:bCs/>
          <w:sz w:val="18"/>
          <w:szCs w:val="18"/>
        </w:rPr>
        <w:t>Aspectos adicionales:</w:t>
      </w:r>
    </w:p>
    <w:p w14:paraId="6D07F245" w14:textId="77777777" w:rsidR="009C2A65" w:rsidRDefault="009C2A65" w:rsidP="00722BA2">
      <w:pPr>
        <w:pStyle w:val="Prrafodelista"/>
        <w:jc w:val="both"/>
        <w:rPr>
          <w:rFonts w:ascii="Arial" w:hAnsi="Arial" w:cs="Arial"/>
          <w:sz w:val="18"/>
          <w:szCs w:val="18"/>
        </w:rPr>
      </w:pPr>
    </w:p>
    <w:tbl>
      <w:tblPr>
        <w:tblStyle w:val="Tablaconcuadrcula"/>
        <w:tblW w:w="5000" w:type="pct"/>
        <w:jc w:val="center"/>
        <w:tblLook w:val="04A0" w:firstRow="1" w:lastRow="0" w:firstColumn="1" w:lastColumn="0" w:noHBand="0" w:noVBand="1"/>
      </w:tblPr>
      <w:tblGrid>
        <w:gridCol w:w="5528"/>
        <w:gridCol w:w="2966"/>
      </w:tblGrid>
      <w:tr w:rsidR="009C2A65" w:rsidRPr="00EB057F" w14:paraId="2887F925" w14:textId="77777777" w:rsidTr="000B1CAB">
        <w:trPr>
          <w:trHeight w:val="90"/>
          <w:jc w:val="center"/>
        </w:trPr>
        <w:tc>
          <w:tcPr>
            <w:tcW w:w="3254" w:type="pct"/>
          </w:tcPr>
          <w:p w14:paraId="5C03ECA0" w14:textId="77777777" w:rsidR="009C2A65" w:rsidRPr="00EB057F" w:rsidRDefault="009C2A65" w:rsidP="000B1CAB">
            <w:pPr>
              <w:pStyle w:val="Prrafodelista"/>
              <w:ind w:left="0"/>
              <w:jc w:val="both"/>
              <w:rPr>
                <w:rFonts w:ascii="Arial" w:hAnsi="Arial" w:cs="Arial"/>
                <w:b/>
                <w:sz w:val="18"/>
                <w:szCs w:val="18"/>
              </w:rPr>
            </w:pPr>
            <w:r w:rsidRPr="00EB057F">
              <w:rPr>
                <w:rFonts w:ascii="Arial" w:hAnsi="Arial" w:cs="Arial"/>
                <w:b/>
                <w:sz w:val="18"/>
                <w:szCs w:val="18"/>
              </w:rPr>
              <w:t>Descripción solicitada</w:t>
            </w:r>
          </w:p>
        </w:tc>
        <w:tc>
          <w:tcPr>
            <w:tcW w:w="1746" w:type="pct"/>
          </w:tcPr>
          <w:p w14:paraId="1D9998CF" w14:textId="77777777" w:rsidR="009C2A65" w:rsidRPr="00EB057F" w:rsidRDefault="009C2A65" w:rsidP="000B1CAB">
            <w:pPr>
              <w:pStyle w:val="Prrafodelista"/>
              <w:ind w:left="0"/>
              <w:jc w:val="both"/>
              <w:rPr>
                <w:rFonts w:ascii="Arial" w:hAnsi="Arial" w:cs="Arial"/>
                <w:b/>
                <w:sz w:val="18"/>
                <w:szCs w:val="18"/>
              </w:rPr>
            </w:pPr>
            <w:r w:rsidRPr="00EB057F">
              <w:rPr>
                <w:rFonts w:ascii="Arial" w:hAnsi="Arial" w:cs="Arial"/>
                <w:b/>
                <w:sz w:val="18"/>
                <w:szCs w:val="18"/>
              </w:rPr>
              <w:t>Condición ofertada</w:t>
            </w:r>
          </w:p>
        </w:tc>
      </w:tr>
      <w:tr w:rsidR="009C2A65" w:rsidRPr="00EB057F" w14:paraId="4EAFEAAB" w14:textId="77777777" w:rsidTr="000B1CAB">
        <w:trPr>
          <w:trHeight w:val="446"/>
          <w:jc w:val="center"/>
        </w:trPr>
        <w:tc>
          <w:tcPr>
            <w:tcW w:w="3254" w:type="pct"/>
          </w:tcPr>
          <w:p w14:paraId="036DBFE9" w14:textId="77777777" w:rsidR="009C2A65" w:rsidRPr="00EB057F" w:rsidRDefault="009C2A65" w:rsidP="000B1CAB">
            <w:pPr>
              <w:jc w:val="both"/>
              <w:rPr>
                <w:rFonts w:ascii="Arial" w:hAnsi="Arial" w:cs="Arial"/>
                <w:i/>
                <w:color w:val="5B9BD5" w:themeColor="accent1"/>
                <w:sz w:val="18"/>
                <w:szCs w:val="18"/>
              </w:rPr>
            </w:pPr>
            <w:r w:rsidRPr="00EB057F">
              <w:rPr>
                <w:rFonts w:ascii="Arial" w:hAnsi="Arial" w:cs="Arial"/>
                <w:sz w:val="18"/>
                <w:szCs w:val="18"/>
              </w:rPr>
              <w:t xml:space="preserve">Vigencia de la cotización / proforma: </w:t>
            </w:r>
          </w:p>
          <w:p w14:paraId="2467FB5A" w14:textId="77777777" w:rsidR="009C2A65" w:rsidRPr="00EB057F" w:rsidRDefault="009C2A65" w:rsidP="000B1CAB">
            <w:pPr>
              <w:jc w:val="both"/>
              <w:rPr>
                <w:rFonts w:ascii="Arial" w:hAnsi="Arial" w:cs="Arial"/>
                <w:iCs/>
                <w:sz w:val="18"/>
                <w:szCs w:val="18"/>
              </w:rPr>
            </w:pPr>
          </w:p>
          <w:p w14:paraId="44227DE4" w14:textId="77777777" w:rsidR="009C2A65" w:rsidRPr="00EB057F" w:rsidRDefault="009C2A65" w:rsidP="000B1CAB">
            <w:pPr>
              <w:pStyle w:val="Prrafodelista"/>
              <w:numPr>
                <w:ilvl w:val="0"/>
                <w:numId w:val="8"/>
              </w:numPr>
              <w:ind w:left="459"/>
              <w:jc w:val="both"/>
              <w:rPr>
                <w:rFonts w:ascii="Arial" w:hAnsi="Arial" w:cs="Arial"/>
                <w:iCs/>
                <w:sz w:val="18"/>
                <w:szCs w:val="18"/>
              </w:rPr>
            </w:pPr>
            <w:r w:rsidRPr="00EB057F">
              <w:rPr>
                <w:rFonts w:ascii="Arial" w:hAnsi="Arial" w:cs="Arial"/>
                <w:iCs/>
                <w:sz w:val="18"/>
                <w:szCs w:val="18"/>
              </w:rPr>
              <w:t>Vigencia de la cotización de 120 días.</w:t>
            </w:r>
          </w:p>
          <w:p w14:paraId="7A4477A1" w14:textId="77777777" w:rsidR="009C2A65" w:rsidRPr="00EB057F" w:rsidRDefault="009C2A65" w:rsidP="000B1CAB">
            <w:pPr>
              <w:ind w:left="99"/>
              <w:jc w:val="both"/>
              <w:rPr>
                <w:rFonts w:ascii="Arial" w:hAnsi="Arial" w:cs="Arial"/>
                <w:iCs/>
                <w:sz w:val="18"/>
                <w:szCs w:val="18"/>
              </w:rPr>
            </w:pPr>
          </w:p>
        </w:tc>
        <w:tc>
          <w:tcPr>
            <w:tcW w:w="1746" w:type="pct"/>
          </w:tcPr>
          <w:p w14:paraId="2FAE5998" w14:textId="77777777" w:rsidR="009C2A65" w:rsidRPr="00EB057F" w:rsidRDefault="009C2A65" w:rsidP="000B1CAB">
            <w:pPr>
              <w:pStyle w:val="Prrafodelista"/>
              <w:ind w:left="0"/>
              <w:jc w:val="both"/>
              <w:rPr>
                <w:rFonts w:ascii="Arial" w:hAnsi="Arial" w:cs="Arial"/>
                <w:i/>
                <w:color w:val="5B9BD5" w:themeColor="accent1"/>
                <w:sz w:val="18"/>
                <w:szCs w:val="18"/>
              </w:rPr>
            </w:pPr>
            <w:r w:rsidRPr="00EB057F">
              <w:rPr>
                <w:rFonts w:ascii="Arial" w:hAnsi="Arial" w:cs="Arial"/>
                <w:i/>
                <w:color w:val="5B9BD5" w:themeColor="accent1"/>
                <w:sz w:val="18"/>
                <w:szCs w:val="18"/>
              </w:rPr>
              <w:t>El proveedor debe señalar la vigencia de su cotización / proforma.</w:t>
            </w:r>
          </w:p>
        </w:tc>
      </w:tr>
    </w:tbl>
    <w:p w14:paraId="53862345" w14:textId="77777777" w:rsidR="009C2A65" w:rsidRPr="00EB057F" w:rsidRDefault="009C2A65" w:rsidP="00722BA2">
      <w:pPr>
        <w:pStyle w:val="Prrafodelista"/>
        <w:jc w:val="both"/>
        <w:rPr>
          <w:rFonts w:ascii="Arial" w:hAnsi="Arial" w:cs="Arial"/>
          <w:sz w:val="18"/>
          <w:szCs w:val="18"/>
        </w:rPr>
      </w:pPr>
    </w:p>
    <w:p w14:paraId="20EABE12" w14:textId="14567401" w:rsidR="00722BA2" w:rsidRPr="00EB057F" w:rsidRDefault="0093173E" w:rsidP="0093173E">
      <w:pPr>
        <w:jc w:val="both"/>
        <w:rPr>
          <w:rFonts w:ascii="Arial" w:hAnsi="Arial" w:cs="Arial"/>
          <w:b/>
          <w:bCs/>
          <w:i/>
          <w:color w:val="5B9BD5" w:themeColor="accent1"/>
          <w:sz w:val="18"/>
          <w:szCs w:val="18"/>
          <w:u w:val="single"/>
        </w:rPr>
      </w:pPr>
      <w:r w:rsidRPr="00EB057F">
        <w:rPr>
          <w:rFonts w:ascii="Arial" w:hAnsi="Arial" w:cs="Arial"/>
          <w:b/>
          <w:bCs/>
          <w:i/>
          <w:color w:val="5B9BD5" w:themeColor="accent1"/>
          <w:sz w:val="18"/>
          <w:szCs w:val="18"/>
          <w:u w:val="single"/>
        </w:rPr>
        <w:t>Notas:</w:t>
      </w:r>
    </w:p>
    <w:p w14:paraId="2389B8B7" w14:textId="2F97DCEA" w:rsidR="004F2B2C" w:rsidRDefault="00722BA2" w:rsidP="0093173E">
      <w:pPr>
        <w:pStyle w:val="Prrafodelista"/>
        <w:numPr>
          <w:ilvl w:val="0"/>
          <w:numId w:val="3"/>
        </w:numPr>
        <w:jc w:val="both"/>
        <w:rPr>
          <w:rFonts w:ascii="Arial" w:hAnsi="Arial" w:cs="Arial"/>
          <w:i/>
          <w:color w:val="5B9BD5" w:themeColor="accent1"/>
          <w:sz w:val="18"/>
          <w:szCs w:val="18"/>
        </w:rPr>
      </w:pPr>
      <w:r w:rsidRPr="00EB057F">
        <w:rPr>
          <w:rFonts w:ascii="Arial" w:hAnsi="Arial" w:cs="Arial"/>
          <w:i/>
          <w:color w:val="5B9BD5" w:themeColor="accent1"/>
          <w:sz w:val="18"/>
          <w:szCs w:val="18"/>
        </w:rPr>
        <w:t xml:space="preserve">Las cotizaciones </w:t>
      </w:r>
      <w:r w:rsidR="00C2033B" w:rsidRPr="00EB057F">
        <w:rPr>
          <w:rFonts w:ascii="Arial" w:hAnsi="Arial" w:cs="Arial"/>
          <w:i/>
          <w:color w:val="5B9BD5" w:themeColor="accent1"/>
          <w:sz w:val="18"/>
          <w:szCs w:val="18"/>
        </w:rPr>
        <w:t>deberán ser suscritas con firma electrónica</w:t>
      </w:r>
    </w:p>
    <w:p w14:paraId="431CAE53" w14:textId="225BCC28" w:rsidR="009C2A65" w:rsidRPr="00EB057F" w:rsidRDefault="009C2A65" w:rsidP="0093173E">
      <w:pPr>
        <w:pStyle w:val="Prrafodelista"/>
        <w:numPr>
          <w:ilvl w:val="0"/>
          <w:numId w:val="3"/>
        </w:numPr>
        <w:jc w:val="both"/>
        <w:rPr>
          <w:rFonts w:ascii="Arial" w:hAnsi="Arial" w:cs="Arial"/>
          <w:i/>
          <w:color w:val="5B9BD5" w:themeColor="accent1"/>
          <w:sz w:val="18"/>
          <w:szCs w:val="18"/>
        </w:rPr>
      </w:pPr>
      <w:r>
        <w:rPr>
          <w:rFonts w:ascii="Arial" w:hAnsi="Arial" w:cs="Arial"/>
          <w:i/>
          <w:color w:val="5B9BD5" w:themeColor="accent1"/>
          <w:sz w:val="18"/>
          <w:szCs w:val="18"/>
        </w:rPr>
        <w:t>D</w:t>
      </w:r>
      <w:r w:rsidRPr="009C2A65">
        <w:rPr>
          <w:rFonts w:ascii="Arial" w:hAnsi="Arial" w:cs="Arial"/>
          <w:i/>
          <w:color w:val="5B9BD5" w:themeColor="accent1"/>
          <w:sz w:val="18"/>
          <w:szCs w:val="18"/>
        </w:rPr>
        <w:t>ebe contener la determinación de costos de consultoría de conformidad con el artículo 155 del Reglamento (costos directos, costos indirectos o gastos generales, honorarios o utilidad empresarial).</w:t>
      </w:r>
    </w:p>
    <w:p w14:paraId="757FF7F4" w14:textId="7002D439" w:rsidR="00722BA2" w:rsidRPr="00EB057F" w:rsidRDefault="004F2B2C" w:rsidP="0093173E">
      <w:pPr>
        <w:pStyle w:val="Prrafodelista"/>
        <w:numPr>
          <w:ilvl w:val="0"/>
          <w:numId w:val="3"/>
        </w:numPr>
        <w:jc w:val="both"/>
        <w:rPr>
          <w:rFonts w:ascii="Arial" w:hAnsi="Arial" w:cs="Arial"/>
          <w:i/>
          <w:color w:val="5B9BD5" w:themeColor="accent1"/>
          <w:sz w:val="18"/>
          <w:szCs w:val="18"/>
        </w:rPr>
      </w:pPr>
      <w:r w:rsidRPr="00EB057F">
        <w:rPr>
          <w:rFonts w:ascii="Arial" w:hAnsi="Arial" w:cs="Arial"/>
          <w:i/>
          <w:color w:val="5B9BD5" w:themeColor="accent1"/>
          <w:sz w:val="18"/>
          <w:szCs w:val="18"/>
        </w:rPr>
        <w:t xml:space="preserve">Las letras </w:t>
      </w:r>
      <w:r w:rsidR="005F091C" w:rsidRPr="00EB057F">
        <w:rPr>
          <w:rFonts w:ascii="Arial" w:hAnsi="Arial" w:cs="Arial"/>
          <w:i/>
          <w:color w:val="5B9BD5" w:themeColor="accent1"/>
          <w:sz w:val="18"/>
          <w:szCs w:val="18"/>
        </w:rPr>
        <w:t xml:space="preserve">de color azul </w:t>
      </w:r>
      <w:r w:rsidRPr="00EB057F">
        <w:rPr>
          <w:rFonts w:ascii="Arial" w:hAnsi="Arial" w:cs="Arial"/>
          <w:i/>
          <w:color w:val="5B9BD5" w:themeColor="accent1"/>
          <w:sz w:val="18"/>
          <w:szCs w:val="18"/>
        </w:rPr>
        <w:t>son orientativas para un mejor entendimiento en el pedido de cotizaciones, por lo que</w:t>
      </w:r>
      <w:r w:rsidR="005F091C" w:rsidRPr="00EB057F">
        <w:rPr>
          <w:rFonts w:ascii="Arial" w:hAnsi="Arial" w:cs="Arial"/>
          <w:i/>
          <w:color w:val="5B9BD5" w:themeColor="accent1"/>
          <w:sz w:val="18"/>
          <w:szCs w:val="18"/>
        </w:rPr>
        <w:t>,</w:t>
      </w:r>
      <w:r w:rsidRPr="00EB057F">
        <w:rPr>
          <w:rFonts w:ascii="Arial" w:hAnsi="Arial" w:cs="Arial"/>
          <w:i/>
          <w:color w:val="5B9BD5" w:themeColor="accent1"/>
          <w:sz w:val="18"/>
          <w:szCs w:val="18"/>
        </w:rPr>
        <w:t xml:space="preserve"> ser</w:t>
      </w:r>
      <w:r w:rsidR="005F091C" w:rsidRPr="00EB057F">
        <w:rPr>
          <w:rFonts w:ascii="Arial" w:hAnsi="Arial" w:cs="Arial"/>
          <w:i/>
          <w:color w:val="5B9BD5" w:themeColor="accent1"/>
          <w:sz w:val="18"/>
          <w:szCs w:val="18"/>
        </w:rPr>
        <w:t>án</w:t>
      </w:r>
      <w:r w:rsidRPr="00EB057F">
        <w:rPr>
          <w:rFonts w:ascii="Arial" w:hAnsi="Arial" w:cs="Arial"/>
          <w:i/>
          <w:color w:val="5B9BD5" w:themeColor="accent1"/>
          <w:sz w:val="18"/>
          <w:szCs w:val="18"/>
        </w:rPr>
        <w:t xml:space="preserve"> borradas</w:t>
      </w:r>
      <w:r w:rsidR="005F091C" w:rsidRPr="00EB057F">
        <w:rPr>
          <w:rFonts w:ascii="Arial" w:hAnsi="Arial" w:cs="Arial"/>
          <w:i/>
          <w:color w:val="5B9BD5" w:themeColor="accent1"/>
          <w:sz w:val="18"/>
          <w:szCs w:val="18"/>
        </w:rPr>
        <w:t xml:space="preserve"> y deberán ser llenadas </w:t>
      </w:r>
    </w:p>
    <w:p w14:paraId="495843AD" w14:textId="77777777" w:rsidR="00722BA2" w:rsidRPr="00EB057F" w:rsidRDefault="00722BA2" w:rsidP="00722BA2">
      <w:pPr>
        <w:rPr>
          <w:rFonts w:ascii="Arial" w:hAnsi="Arial" w:cs="Arial"/>
          <w:i/>
          <w:color w:val="5B9BD5" w:themeColor="accent1"/>
          <w:sz w:val="18"/>
          <w:szCs w:val="18"/>
        </w:rPr>
      </w:pPr>
    </w:p>
    <w:p w14:paraId="5A291D63" w14:textId="77777777" w:rsidR="00C876C8" w:rsidRPr="00EB057F" w:rsidRDefault="00C876C8">
      <w:pPr>
        <w:rPr>
          <w:rFonts w:ascii="Arial" w:hAnsi="Arial" w:cs="Arial"/>
          <w:sz w:val="18"/>
          <w:szCs w:val="18"/>
        </w:rPr>
      </w:pPr>
    </w:p>
    <w:sectPr w:rsidR="00C876C8" w:rsidRPr="00EB057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9CD38" w14:textId="77777777" w:rsidR="009C3240" w:rsidRDefault="009C3240" w:rsidP="007B59EF">
      <w:pPr>
        <w:spacing w:after="0" w:line="240" w:lineRule="auto"/>
      </w:pPr>
      <w:r>
        <w:separator/>
      </w:r>
    </w:p>
  </w:endnote>
  <w:endnote w:type="continuationSeparator" w:id="0">
    <w:p w14:paraId="677CECE6" w14:textId="77777777" w:rsidR="009C3240" w:rsidRDefault="009C3240" w:rsidP="007B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DF3C0" w14:textId="77777777" w:rsidR="009C3240" w:rsidRDefault="009C3240" w:rsidP="007B59EF">
      <w:pPr>
        <w:spacing w:after="0" w:line="240" w:lineRule="auto"/>
      </w:pPr>
      <w:r>
        <w:separator/>
      </w:r>
    </w:p>
  </w:footnote>
  <w:footnote w:type="continuationSeparator" w:id="0">
    <w:p w14:paraId="06EF135C" w14:textId="77777777" w:rsidR="009C3240" w:rsidRDefault="009C3240" w:rsidP="007B5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90274" w14:textId="77EEEBE8" w:rsidR="007B59EF" w:rsidRPr="007B59EF" w:rsidRDefault="007B59EF" w:rsidP="007B59EF">
    <w:pPr>
      <w:pStyle w:val="Encabezado"/>
      <w:jc w:val="right"/>
      <w:rPr>
        <w:i/>
        <w:iCs/>
        <w:sz w:val="20"/>
        <w:szCs w:val="20"/>
      </w:rPr>
    </w:pPr>
    <w:r w:rsidRPr="007B59EF">
      <w:rPr>
        <w:i/>
        <w:iCs/>
        <w:sz w:val="20"/>
        <w:szCs w:val="20"/>
      </w:rPr>
      <w:t>Formato Versión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A2112"/>
    <w:multiLevelType w:val="hybridMultilevel"/>
    <w:tmpl w:val="D654E2D4"/>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 w15:restartNumberingAfterBreak="0">
    <w:nsid w:val="153077AE"/>
    <w:multiLevelType w:val="hybridMultilevel"/>
    <w:tmpl w:val="627A3E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7850B1A"/>
    <w:multiLevelType w:val="hybridMultilevel"/>
    <w:tmpl w:val="D11482A2"/>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 w15:restartNumberingAfterBreak="0">
    <w:nsid w:val="1ECB0610"/>
    <w:multiLevelType w:val="hybridMultilevel"/>
    <w:tmpl w:val="8564D86A"/>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4" w15:restartNumberingAfterBreak="0">
    <w:nsid w:val="20656F87"/>
    <w:multiLevelType w:val="hybridMultilevel"/>
    <w:tmpl w:val="3F0075A2"/>
    <w:lvl w:ilvl="0" w:tplc="0B3A251E">
      <w:start w:val="2"/>
      <w:numFmt w:val="bullet"/>
      <w:lvlText w:val="-"/>
      <w:lvlJc w:val="left"/>
      <w:pPr>
        <w:ind w:left="1789" w:hanging="360"/>
      </w:pPr>
      <w:rPr>
        <w:rFonts w:ascii="Calibri" w:eastAsia="Times New Roman" w:hAnsi="Calibri" w:cs="Calibri" w:hint="default"/>
      </w:rPr>
    </w:lvl>
    <w:lvl w:ilvl="1" w:tplc="300A0003" w:tentative="1">
      <w:start w:val="1"/>
      <w:numFmt w:val="bullet"/>
      <w:lvlText w:val="o"/>
      <w:lvlJc w:val="left"/>
      <w:pPr>
        <w:ind w:left="2509" w:hanging="360"/>
      </w:pPr>
      <w:rPr>
        <w:rFonts w:ascii="Courier New" w:hAnsi="Courier New" w:cs="Courier New" w:hint="default"/>
      </w:rPr>
    </w:lvl>
    <w:lvl w:ilvl="2" w:tplc="300A0005" w:tentative="1">
      <w:start w:val="1"/>
      <w:numFmt w:val="bullet"/>
      <w:lvlText w:val=""/>
      <w:lvlJc w:val="left"/>
      <w:pPr>
        <w:ind w:left="3229" w:hanging="360"/>
      </w:pPr>
      <w:rPr>
        <w:rFonts w:ascii="Wingdings" w:hAnsi="Wingdings" w:hint="default"/>
      </w:rPr>
    </w:lvl>
    <w:lvl w:ilvl="3" w:tplc="300A0001" w:tentative="1">
      <w:start w:val="1"/>
      <w:numFmt w:val="bullet"/>
      <w:lvlText w:val=""/>
      <w:lvlJc w:val="left"/>
      <w:pPr>
        <w:ind w:left="3949" w:hanging="360"/>
      </w:pPr>
      <w:rPr>
        <w:rFonts w:ascii="Symbol" w:hAnsi="Symbol" w:hint="default"/>
      </w:rPr>
    </w:lvl>
    <w:lvl w:ilvl="4" w:tplc="300A0003" w:tentative="1">
      <w:start w:val="1"/>
      <w:numFmt w:val="bullet"/>
      <w:lvlText w:val="o"/>
      <w:lvlJc w:val="left"/>
      <w:pPr>
        <w:ind w:left="4669" w:hanging="360"/>
      </w:pPr>
      <w:rPr>
        <w:rFonts w:ascii="Courier New" w:hAnsi="Courier New" w:cs="Courier New" w:hint="default"/>
      </w:rPr>
    </w:lvl>
    <w:lvl w:ilvl="5" w:tplc="300A0005" w:tentative="1">
      <w:start w:val="1"/>
      <w:numFmt w:val="bullet"/>
      <w:lvlText w:val=""/>
      <w:lvlJc w:val="left"/>
      <w:pPr>
        <w:ind w:left="5389" w:hanging="360"/>
      </w:pPr>
      <w:rPr>
        <w:rFonts w:ascii="Wingdings" w:hAnsi="Wingdings" w:hint="default"/>
      </w:rPr>
    </w:lvl>
    <w:lvl w:ilvl="6" w:tplc="300A0001" w:tentative="1">
      <w:start w:val="1"/>
      <w:numFmt w:val="bullet"/>
      <w:lvlText w:val=""/>
      <w:lvlJc w:val="left"/>
      <w:pPr>
        <w:ind w:left="6109" w:hanging="360"/>
      </w:pPr>
      <w:rPr>
        <w:rFonts w:ascii="Symbol" w:hAnsi="Symbol" w:hint="default"/>
      </w:rPr>
    </w:lvl>
    <w:lvl w:ilvl="7" w:tplc="300A0003" w:tentative="1">
      <w:start w:val="1"/>
      <w:numFmt w:val="bullet"/>
      <w:lvlText w:val="o"/>
      <w:lvlJc w:val="left"/>
      <w:pPr>
        <w:ind w:left="6829" w:hanging="360"/>
      </w:pPr>
      <w:rPr>
        <w:rFonts w:ascii="Courier New" w:hAnsi="Courier New" w:cs="Courier New" w:hint="default"/>
      </w:rPr>
    </w:lvl>
    <w:lvl w:ilvl="8" w:tplc="300A0005" w:tentative="1">
      <w:start w:val="1"/>
      <w:numFmt w:val="bullet"/>
      <w:lvlText w:val=""/>
      <w:lvlJc w:val="left"/>
      <w:pPr>
        <w:ind w:left="7549" w:hanging="360"/>
      </w:pPr>
      <w:rPr>
        <w:rFonts w:ascii="Wingdings" w:hAnsi="Wingdings" w:hint="default"/>
      </w:rPr>
    </w:lvl>
  </w:abstractNum>
  <w:abstractNum w:abstractNumId="5" w15:restartNumberingAfterBreak="0">
    <w:nsid w:val="222944DB"/>
    <w:multiLevelType w:val="hybridMultilevel"/>
    <w:tmpl w:val="7444C1E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DF826A3"/>
    <w:multiLevelType w:val="hybridMultilevel"/>
    <w:tmpl w:val="0394B908"/>
    <w:lvl w:ilvl="0" w:tplc="300A0001">
      <w:start w:val="1"/>
      <w:numFmt w:val="bullet"/>
      <w:lvlText w:val=""/>
      <w:lvlJc w:val="left"/>
      <w:pPr>
        <w:ind w:left="1476" w:hanging="360"/>
      </w:pPr>
      <w:rPr>
        <w:rFonts w:ascii="Symbol" w:hAnsi="Symbol" w:hint="default"/>
      </w:rPr>
    </w:lvl>
    <w:lvl w:ilvl="1" w:tplc="300A0003" w:tentative="1">
      <w:start w:val="1"/>
      <w:numFmt w:val="bullet"/>
      <w:lvlText w:val="o"/>
      <w:lvlJc w:val="left"/>
      <w:pPr>
        <w:ind w:left="2196" w:hanging="360"/>
      </w:pPr>
      <w:rPr>
        <w:rFonts w:ascii="Courier New" w:hAnsi="Courier New" w:cs="Courier New" w:hint="default"/>
      </w:rPr>
    </w:lvl>
    <w:lvl w:ilvl="2" w:tplc="300A0005" w:tentative="1">
      <w:start w:val="1"/>
      <w:numFmt w:val="bullet"/>
      <w:lvlText w:val=""/>
      <w:lvlJc w:val="left"/>
      <w:pPr>
        <w:ind w:left="2916" w:hanging="360"/>
      </w:pPr>
      <w:rPr>
        <w:rFonts w:ascii="Wingdings" w:hAnsi="Wingdings" w:hint="default"/>
      </w:rPr>
    </w:lvl>
    <w:lvl w:ilvl="3" w:tplc="300A0001" w:tentative="1">
      <w:start w:val="1"/>
      <w:numFmt w:val="bullet"/>
      <w:lvlText w:val=""/>
      <w:lvlJc w:val="left"/>
      <w:pPr>
        <w:ind w:left="3636" w:hanging="360"/>
      </w:pPr>
      <w:rPr>
        <w:rFonts w:ascii="Symbol" w:hAnsi="Symbol" w:hint="default"/>
      </w:rPr>
    </w:lvl>
    <w:lvl w:ilvl="4" w:tplc="300A0003" w:tentative="1">
      <w:start w:val="1"/>
      <w:numFmt w:val="bullet"/>
      <w:lvlText w:val="o"/>
      <w:lvlJc w:val="left"/>
      <w:pPr>
        <w:ind w:left="4356" w:hanging="360"/>
      </w:pPr>
      <w:rPr>
        <w:rFonts w:ascii="Courier New" w:hAnsi="Courier New" w:cs="Courier New" w:hint="default"/>
      </w:rPr>
    </w:lvl>
    <w:lvl w:ilvl="5" w:tplc="300A0005" w:tentative="1">
      <w:start w:val="1"/>
      <w:numFmt w:val="bullet"/>
      <w:lvlText w:val=""/>
      <w:lvlJc w:val="left"/>
      <w:pPr>
        <w:ind w:left="5076" w:hanging="360"/>
      </w:pPr>
      <w:rPr>
        <w:rFonts w:ascii="Wingdings" w:hAnsi="Wingdings" w:hint="default"/>
      </w:rPr>
    </w:lvl>
    <w:lvl w:ilvl="6" w:tplc="300A0001" w:tentative="1">
      <w:start w:val="1"/>
      <w:numFmt w:val="bullet"/>
      <w:lvlText w:val=""/>
      <w:lvlJc w:val="left"/>
      <w:pPr>
        <w:ind w:left="5796" w:hanging="360"/>
      </w:pPr>
      <w:rPr>
        <w:rFonts w:ascii="Symbol" w:hAnsi="Symbol" w:hint="default"/>
      </w:rPr>
    </w:lvl>
    <w:lvl w:ilvl="7" w:tplc="300A0003" w:tentative="1">
      <w:start w:val="1"/>
      <w:numFmt w:val="bullet"/>
      <w:lvlText w:val="o"/>
      <w:lvlJc w:val="left"/>
      <w:pPr>
        <w:ind w:left="6516" w:hanging="360"/>
      </w:pPr>
      <w:rPr>
        <w:rFonts w:ascii="Courier New" w:hAnsi="Courier New" w:cs="Courier New" w:hint="default"/>
      </w:rPr>
    </w:lvl>
    <w:lvl w:ilvl="8" w:tplc="300A0005" w:tentative="1">
      <w:start w:val="1"/>
      <w:numFmt w:val="bullet"/>
      <w:lvlText w:val=""/>
      <w:lvlJc w:val="left"/>
      <w:pPr>
        <w:ind w:left="7236" w:hanging="360"/>
      </w:pPr>
      <w:rPr>
        <w:rFonts w:ascii="Wingdings" w:hAnsi="Wingdings" w:hint="default"/>
      </w:rPr>
    </w:lvl>
  </w:abstractNum>
  <w:abstractNum w:abstractNumId="7" w15:restartNumberingAfterBreak="0">
    <w:nsid w:val="419406A3"/>
    <w:multiLevelType w:val="hybridMultilevel"/>
    <w:tmpl w:val="F3BC0694"/>
    <w:lvl w:ilvl="0" w:tplc="300A0001">
      <w:start w:val="1"/>
      <w:numFmt w:val="bullet"/>
      <w:lvlText w:val=""/>
      <w:lvlJc w:val="left"/>
      <w:pPr>
        <w:ind w:left="1428" w:hanging="360"/>
      </w:pPr>
      <w:rPr>
        <w:rFonts w:ascii="Symbol" w:hAnsi="Symbol"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8" w15:restartNumberingAfterBreak="0">
    <w:nsid w:val="62DD7517"/>
    <w:multiLevelType w:val="hybridMultilevel"/>
    <w:tmpl w:val="A022D2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715F1994"/>
    <w:multiLevelType w:val="hybridMultilevel"/>
    <w:tmpl w:val="97E49C0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74082DC4"/>
    <w:multiLevelType w:val="hybridMultilevel"/>
    <w:tmpl w:val="0B38B6D8"/>
    <w:lvl w:ilvl="0" w:tplc="300A0001">
      <w:start w:val="1"/>
      <w:numFmt w:val="bullet"/>
      <w:lvlText w:val=""/>
      <w:lvlJc w:val="left"/>
      <w:pPr>
        <w:ind w:left="1524" w:hanging="360"/>
      </w:pPr>
      <w:rPr>
        <w:rFonts w:ascii="Symbol" w:hAnsi="Symbol" w:hint="default"/>
      </w:rPr>
    </w:lvl>
    <w:lvl w:ilvl="1" w:tplc="300A0003" w:tentative="1">
      <w:start w:val="1"/>
      <w:numFmt w:val="bullet"/>
      <w:lvlText w:val="o"/>
      <w:lvlJc w:val="left"/>
      <w:pPr>
        <w:ind w:left="2244" w:hanging="360"/>
      </w:pPr>
      <w:rPr>
        <w:rFonts w:ascii="Courier New" w:hAnsi="Courier New" w:cs="Courier New" w:hint="default"/>
      </w:rPr>
    </w:lvl>
    <w:lvl w:ilvl="2" w:tplc="300A0005" w:tentative="1">
      <w:start w:val="1"/>
      <w:numFmt w:val="bullet"/>
      <w:lvlText w:val=""/>
      <w:lvlJc w:val="left"/>
      <w:pPr>
        <w:ind w:left="2964" w:hanging="360"/>
      </w:pPr>
      <w:rPr>
        <w:rFonts w:ascii="Wingdings" w:hAnsi="Wingdings" w:hint="default"/>
      </w:rPr>
    </w:lvl>
    <w:lvl w:ilvl="3" w:tplc="300A0001" w:tentative="1">
      <w:start w:val="1"/>
      <w:numFmt w:val="bullet"/>
      <w:lvlText w:val=""/>
      <w:lvlJc w:val="left"/>
      <w:pPr>
        <w:ind w:left="3684" w:hanging="360"/>
      </w:pPr>
      <w:rPr>
        <w:rFonts w:ascii="Symbol" w:hAnsi="Symbol" w:hint="default"/>
      </w:rPr>
    </w:lvl>
    <w:lvl w:ilvl="4" w:tplc="300A0003" w:tentative="1">
      <w:start w:val="1"/>
      <w:numFmt w:val="bullet"/>
      <w:lvlText w:val="o"/>
      <w:lvlJc w:val="left"/>
      <w:pPr>
        <w:ind w:left="4404" w:hanging="360"/>
      </w:pPr>
      <w:rPr>
        <w:rFonts w:ascii="Courier New" w:hAnsi="Courier New" w:cs="Courier New" w:hint="default"/>
      </w:rPr>
    </w:lvl>
    <w:lvl w:ilvl="5" w:tplc="300A0005" w:tentative="1">
      <w:start w:val="1"/>
      <w:numFmt w:val="bullet"/>
      <w:lvlText w:val=""/>
      <w:lvlJc w:val="left"/>
      <w:pPr>
        <w:ind w:left="5124" w:hanging="360"/>
      </w:pPr>
      <w:rPr>
        <w:rFonts w:ascii="Wingdings" w:hAnsi="Wingdings" w:hint="default"/>
      </w:rPr>
    </w:lvl>
    <w:lvl w:ilvl="6" w:tplc="300A0001" w:tentative="1">
      <w:start w:val="1"/>
      <w:numFmt w:val="bullet"/>
      <w:lvlText w:val=""/>
      <w:lvlJc w:val="left"/>
      <w:pPr>
        <w:ind w:left="5844" w:hanging="360"/>
      </w:pPr>
      <w:rPr>
        <w:rFonts w:ascii="Symbol" w:hAnsi="Symbol" w:hint="default"/>
      </w:rPr>
    </w:lvl>
    <w:lvl w:ilvl="7" w:tplc="300A0003" w:tentative="1">
      <w:start w:val="1"/>
      <w:numFmt w:val="bullet"/>
      <w:lvlText w:val="o"/>
      <w:lvlJc w:val="left"/>
      <w:pPr>
        <w:ind w:left="6564" w:hanging="360"/>
      </w:pPr>
      <w:rPr>
        <w:rFonts w:ascii="Courier New" w:hAnsi="Courier New" w:cs="Courier New" w:hint="default"/>
      </w:rPr>
    </w:lvl>
    <w:lvl w:ilvl="8" w:tplc="300A0005" w:tentative="1">
      <w:start w:val="1"/>
      <w:numFmt w:val="bullet"/>
      <w:lvlText w:val=""/>
      <w:lvlJc w:val="left"/>
      <w:pPr>
        <w:ind w:left="7284" w:hanging="360"/>
      </w:pPr>
      <w:rPr>
        <w:rFonts w:ascii="Wingdings" w:hAnsi="Wingdings" w:hint="default"/>
      </w:rPr>
    </w:lvl>
  </w:abstractNum>
  <w:abstractNum w:abstractNumId="11" w15:restartNumberingAfterBreak="0">
    <w:nsid w:val="7A777CE9"/>
    <w:multiLevelType w:val="hybridMultilevel"/>
    <w:tmpl w:val="F0101446"/>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960843089">
    <w:abstractNumId w:val="9"/>
  </w:num>
  <w:num w:numId="2" w16cid:durableId="608900185">
    <w:abstractNumId w:val="11"/>
  </w:num>
  <w:num w:numId="3" w16cid:durableId="891160766">
    <w:abstractNumId w:val="5"/>
  </w:num>
  <w:num w:numId="4" w16cid:durableId="313603847">
    <w:abstractNumId w:val="0"/>
  </w:num>
  <w:num w:numId="5" w16cid:durableId="885263935">
    <w:abstractNumId w:val="6"/>
  </w:num>
  <w:num w:numId="6" w16cid:durableId="102581004">
    <w:abstractNumId w:val="10"/>
  </w:num>
  <w:num w:numId="7" w16cid:durableId="1323923994">
    <w:abstractNumId w:val="7"/>
  </w:num>
  <w:num w:numId="8" w16cid:durableId="1690370540">
    <w:abstractNumId w:val="8"/>
  </w:num>
  <w:num w:numId="9" w16cid:durableId="436950598">
    <w:abstractNumId w:val="1"/>
  </w:num>
  <w:num w:numId="10" w16cid:durableId="14157037">
    <w:abstractNumId w:val="2"/>
  </w:num>
  <w:num w:numId="11" w16cid:durableId="2067340830">
    <w:abstractNumId w:val="3"/>
  </w:num>
  <w:num w:numId="12" w16cid:durableId="258831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BA2"/>
    <w:rsid w:val="000E63A1"/>
    <w:rsid w:val="00104ED2"/>
    <w:rsid w:val="0011426E"/>
    <w:rsid w:val="001B0A10"/>
    <w:rsid w:val="001D23F1"/>
    <w:rsid w:val="00241A70"/>
    <w:rsid w:val="00263319"/>
    <w:rsid w:val="002C21FF"/>
    <w:rsid w:val="002D143E"/>
    <w:rsid w:val="0036501A"/>
    <w:rsid w:val="00374ADF"/>
    <w:rsid w:val="00402682"/>
    <w:rsid w:val="00444DFF"/>
    <w:rsid w:val="00446200"/>
    <w:rsid w:val="00475C21"/>
    <w:rsid w:val="004B527C"/>
    <w:rsid w:val="004F2B2C"/>
    <w:rsid w:val="0058583D"/>
    <w:rsid w:val="005D405F"/>
    <w:rsid w:val="005F091C"/>
    <w:rsid w:val="005F68F5"/>
    <w:rsid w:val="0062479C"/>
    <w:rsid w:val="0065011A"/>
    <w:rsid w:val="006A59A2"/>
    <w:rsid w:val="006A7B21"/>
    <w:rsid w:val="00710524"/>
    <w:rsid w:val="00722BA2"/>
    <w:rsid w:val="007A7971"/>
    <w:rsid w:val="007B59EF"/>
    <w:rsid w:val="007C37BC"/>
    <w:rsid w:val="008033DA"/>
    <w:rsid w:val="00817535"/>
    <w:rsid w:val="0092244F"/>
    <w:rsid w:val="0093173E"/>
    <w:rsid w:val="009C2A65"/>
    <w:rsid w:val="009C3240"/>
    <w:rsid w:val="00A1747A"/>
    <w:rsid w:val="00A26AB5"/>
    <w:rsid w:val="00A36F16"/>
    <w:rsid w:val="00A3762A"/>
    <w:rsid w:val="00A5573E"/>
    <w:rsid w:val="00A75AB2"/>
    <w:rsid w:val="00AD7201"/>
    <w:rsid w:val="00AE5321"/>
    <w:rsid w:val="00B25C44"/>
    <w:rsid w:val="00B72498"/>
    <w:rsid w:val="00C2033B"/>
    <w:rsid w:val="00C876C8"/>
    <w:rsid w:val="00D123F1"/>
    <w:rsid w:val="00D95686"/>
    <w:rsid w:val="00DB1D55"/>
    <w:rsid w:val="00E62316"/>
    <w:rsid w:val="00EB057F"/>
    <w:rsid w:val="00EC4340"/>
    <w:rsid w:val="00EE245E"/>
    <w:rsid w:val="00EE6105"/>
    <w:rsid w:val="00F5423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E00F"/>
  <w15:chartTrackingRefBased/>
  <w15:docId w15:val="{B99B0E3A-EC2D-4F3C-8264-6FBFAA34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Texto,List Paragraph1,Lista vistosa - Énfasis 11,Titulo 1,Titulo parrafo,Capítulo,Párrafo 3,Lista multicolor - Énfasis 11,Párrafo de Viñeta,lista tabla,Párrafo de lista ANEXO,cuadro ghf1,Bullet List,FooterText,numbered,lp1,tEX"/>
    <w:basedOn w:val="Normal"/>
    <w:link w:val="PrrafodelistaCar"/>
    <w:uiPriority w:val="34"/>
    <w:qFormat/>
    <w:rsid w:val="00722BA2"/>
    <w:pPr>
      <w:ind w:left="720"/>
      <w:contextualSpacing/>
    </w:pPr>
  </w:style>
  <w:style w:type="table" w:styleId="Tablaconcuadrcula">
    <w:name w:val="Table Grid"/>
    <w:basedOn w:val="Tablanormal"/>
    <w:uiPriority w:val="59"/>
    <w:rsid w:val="00722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 2 IND Car,Texto Car,List Paragraph1 Car,Lista vistosa - Énfasis 11 Car,Titulo 1 Car,Titulo parrafo Car,Capítulo Car,Párrafo 3 Car,Lista multicolor - Énfasis 11 Car,Párrafo de Viñeta Car,lista tabla Car,Párrafo de lista ANEXO Car"/>
    <w:link w:val="Prrafodelista"/>
    <w:uiPriority w:val="34"/>
    <w:qFormat/>
    <w:rsid w:val="00C2033B"/>
  </w:style>
  <w:style w:type="paragraph" w:styleId="Encabezado">
    <w:name w:val="header"/>
    <w:basedOn w:val="Normal"/>
    <w:link w:val="EncabezadoCar"/>
    <w:uiPriority w:val="99"/>
    <w:unhideWhenUsed/>
    <w:rsid w:val="007B5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59EF"/>
  </w:style>
  <w:style w:type="paragraph" w:styleId="Piedepgina">
    <w:name w:val="footer"/>
    <w:basedOn w:val="Normal"/>
    <w:link w:val="PiedepginaCar"/>
    <w:uiPriority w:val="99"/>
    <w:unhideWhenUsed/>
    <w:rsid w:val="007B5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5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5268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Vinicio Gallo Lema</dc:creator>
  <cp:keywords/>
  <dc:description/>
  <cp:lastModifiedBy>Sandra Elizabeth Balseca Navarrete</cp:lastModifiedBy>
  <cp:revision>2</cp:revision>
  <dcterms:created xsi:type="dcterms:W3CDTF">2024-08-27T17:06:00Z</dcterms:created>
  <dcterms:modified xsi:type="dcterms:W3CDTF">2024-08-27T17:06:00Z</dcterms:modified>
</cp:coreProperties>
</file>