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E6" w:rsidRPr="00AC1F0E" w:rsidRDefault="00DC03FA" w:rsidP="00B90EC4">
      <w:pPr>
        <w:jc w:val="center"/>
        <w:rPr>
          <w:rFonts w:ascii="Bookman Old Style" w:hAnsi="Bookman Old Style" w:cs="Times New Roman"/>
          <w:b/>
          <w:sz w:val="24"/>
          <w:szCs w:val="24"/>
        </w:rPr>
      </w:pPr>
      <w:r w:rsidRPr="00AC1F0E">
        <w:rPr>
          <w:rFonts w:ascii="Bookman Old Style" w:hAnsi="Bookman Old Style" w:cs="Times New Roman"/>
          <w:b/>
          <w:sz w:val="24"/>
          <w:szCs w:val="24"/>
        </w:rPr>
        <w:t xml:space="preserve"> </w:t>
      </w:r>
      <w:r w:rsidR="00C2317B" w:rsidRPr="00AC1F0E">
        <w:rPr>
          <w:rFonts w:ascii="Bookman Old Style" w:hAnsi="Bookman Old Style" w:cs="Times New Roman"/>
          <w:b/>
          <w:sz w:val="24"/>
          <w:szCs w:val="24"/>
        </w:rPr>
        <w:t>RE</w:t>
      </w:r>
      <w:r w:rsidR="00BE4EF5">
        <w:rPr>
          <w:rFonts w:ascii="Bookman Old Style" w:hAnsi="Bookman Old Style" w:cs="Times New Roman"/>
          <w:b/>
          <w:sz w:val="24"/>
          <w:szCs w:val="24"/>
        </w:rPr>
        <w:t>SOLUCIÓN No. DIR-EPMTPQ-2020</w:t>
      </w:r>
      <w:r w:rsidR="00BE4EF5" w:rsidRPr="00BE4EF5">
        <w:rPr>
          <w:rFonts w:ascii="Bookman Old Style" w:hAnsi="Bookman Old Style" w:cs="Times New Roman"/>
          <w:b/>
          <w:sz w:val="24"/>
          <w:szCs w:val="24"/>
          <w:highlight w:val="yellow"/>
        </w:rPr>
        <w:t>-011</w:t>
      </w:r>
      <w:r w:rsidR="00BE4EF5">
        <w:rPr>
          <w:rFonts w:ascii="Bookman Old Style" w:hAnsi="Bookman Old Style" w:cs="Times New Roman"/>
          <w:b/>
          <w:sz w:val="24"/>
          <w:szCs w:val="24"/>
        </w:rPr>
        <w:t xml:space="preserve"> </w:t>
      </w:r>
      <w:bookmarkStart w:id="0" w:name="_GoBack"/>
      <w:bookmarkEnd w:id="0"/>
    </w:p>
    <w:p w:rsidR="00B90EC4" w:rsidRPr="00B90EC4" w:rsidRDefault="00B90EC4" w:rsidP="00B90EC4">
      <w:pPr>
        <w:jc w:val="center"/>
        <w:rPr>
          <w:rFonts w:ascii="Bookman Old Style" w:hAnsi="Bookman Old Style" w:cs="Times New Roman"/>
          <w:b/>
          <w:sz w:val="24"/>
          <w:szCs w:val="24"/>
        </w:rPr>
      </w:pPr>
      <w:r w:rsidRPr="00B90EC4">
        <w:rPr>
          <w:rFonts w:ascii="Bookman Old Style" w:hAnsi="Bookman Old Style" w:cs="Times New Roman"/>
          <w:b/>
          <w:sz w:val="24"/>
          <w:szCs w:val="24"/>
        </w:rPr>
        <w:t>EL DIRECTORIO DE LA EMPRESA PÚBLICA METROPOLITANA DE TRANSPORTE DE PASAJEROS DE QUITO</w:t>
      </w:r>
    </w:p>
    <w:p w:rsidR="0041728A" w:rsidRPr="00AC1F0E" w:rsidRDefault="00C2317B" w:rsidP="0041728A">
      <w:pPr>
        <w:jc w:val="center"/>
        <w:rPr>
          <w:rFonts w:ascii="Bookman Old Style" w:hAnsi="Bookman Old Style" w:cs="Times New Roman"/>
          <w:b/>
          <w:sz w:val="24"/>
          <w:szCs w:val="24"/>
        </w:rPr>
      </w:pPr>
      <w:r w:rsidRPr="00AC1F0E">
        <w:rPr>
          <w:rFonts w:ascii="Bookman Old Style" w:hAnsi="Bookman Old Style" w:cs="Times New Roman"/>
          <w:b/>
          <w:sz w:val="24"/>
          <w:szCs w:val="24"/>
        </w:rPr>
        <w:t>CONSIDERANDO:</w:t>
      </w:r>
    </w:p>
    <w:p w:rsidR="0041728A" w:rsidRDefault="00946F76" w:rsidP="0041728A">
      <w:pPr>
        <w:ind w:left="705" w:hanging="705"/>
        <w:jc w:val="both"/>
        <w:rPr>
          <w:rFonts w:ascii="Bookman Old Style" w:hAnsi="Bookman Old Style" w:cs="Times New Roman"/>
          <w:sz w:val="24"/>
          <w:szCs w:val="24"/>
        </w:rPr>
      </w:pPr>
      <w:r w:rsidRPr="00AC1F0E">
        <w:rPr>
          <w:rFonts w:ascii="Bookman Old Style" w:hAnsi="Bookman Old Style" w:cs="Times New Roman"/>
          <w:b/>
          <w:sz w:val="24"/>
          <w:szCs w:val="24"/>
        </w:rPr>
        <w:t>QUE,</w:t>
      </w:r>
      <w:r w:rsidRPr="00AC1F0E">
        <w:rPr>
          <w:rFonts w:ascii="Bookman Old Style" w:hAnsi="Bookman Old Style" w:cs="Times New Roman"/>
          <w:sz w:val="24"/>
          <w:szCs w:val="24"/>
        </w:rPr>
        <w:t xml:space="preserve"> </w:t>
      </w:r>
      <w:r w:rsidRPr="00AC1F0E">
        <w:rPr>
          <w:rFonts w:ascii="Bookman Old Style" w:hAnsi="Bookman Old Style" w:cs="Times New Roman"/>
          <w:sz w:val="24"/>
          <w:szCs w:val="24"/>
        </w:rPr>
        <w:tab/>
        <w:t>el artículo 226 de la Constitución de la República del Ecuador</w:t>
      </w:r>
      <w:r w:rsidR="0041728A" w:rsidRPr="00AC1F0E">
        <w:rPr>
          <w:rFonts w:ascii="Bookman Old Style" w:hAnsi="Bookman Old Style" w:cs="Times New Roman"/>
          <w:sz w:val="24"/>
          <w:szCs w:val="24"/>
        </w:rPr>
        <w:t xml:space="preserve"> (CRE),</w:t>
      </w:r>
      <w:r w:rsidRPr="00AC1F0E">
        <w:rPr>
          <w:rFonts w:ascii="Bookman Old Style" w:hAnsi="Bookman Old Style" w:cs="Times New Roman"/>
          <w:sz w:val="24"/>
          <w:szCs w:val="24"/>
        </w:rPr>
        <w:t xml:space="preserve"> dispone: “</w:t>
      </w:r>
      <w:r w:rsidR="00C2317B" w:rsidRPr="00AC1F0E">
        <w:rPr>
          <w:rFonts w:ascii="Bookman Old Style" w:hAnsi="Bookman Old Style"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w:t>
      </w:r>
      <w:r w:rsidRPr="00AC1F0E">
        <w:rPr>
          <w:rFonts w:ascii="Bookman Old Style" w:hAnsi="Bookman Old Style" w:cs="Times New Roman"/>
          <w:i/>
          <w:sz w:val="24"/>
          <w:szCs w:val="24"/>
        </w:rPr>
        <w:t xml:space="preserve"> (…)”</w:t>
      </w:r>
      <w:r w:rsidRPr="00AC1F0E">
        <w:rPr>
          <w:rFonts w:ascii="Bookman Old Style" w:hAnsi="Bookman Old Style" w:cs="Times New Roman"/>
          <w:sz w:val="24"/>
          <w:szCs w:val="24"/>
        </w:rPr>
        <w:t>;</w:t>
      </w:r>
    </w:p>
    <w:p w:rsidR="0041728A" w:rsidRPr="00AC1F0E" w:rsidRDefault="00A42C5E" w:rsidP="00A42C5E">
      <w:pPr>
        <w:ind w:left="705" w:hanging="705"/>
        <w:jc w:val="both"/>
        <w:rPr>
          <w:rFonts w:ascii="Bookman Old Style" w:hAnsi="Bookman Old Style" w:cs="Times New Roman"/>
          <w:sz w:val="24"/>
          <w:szCs w:val="24"/>
        </w:rPr>
      </w:pPr>
      <w:r>
        <w:rPr>
          <w:rFonts w:ascii="Bookman Old Style" w:hAnsi="Bookman Old Style" w:cs="Times New Roman"/>
          <w:b/>
          <w:sz w:val="24"/>
          <w:szCs w:val="24"/>
        </w:rPr>
        <w:t xml:space="preserve">QUE, </w:t>
      </w:r>
      <w:r w:rsidRPr="00A42C5E">
        <w:rPr>
          <w:rFonts w:ascii="Bookman Old Style" w:hAnsi="Bookman Old Style" w:cs="Times New Roman"/>
          <w:sz w:val="24"/>
          <w:szCs w:val="24"/>
        </w:rPr>
        <w:t>el artículo 315 de la CRE establece:</w:t>
      </w:r>
      <w:r>
        <w:rPr>
          <w:rFonts w:ascii="Bookman Old Style" w:hAnsi="Bookman Old Style" w:cs="Times New Roman"/>
          <w:b/>
          <w:sz w:val="24"/>
          <w:szCs w:val="24"/>
        </w:rPr>
        <w:t xml:space="preserve"> </w:t>
      </w:r>
      <w:r w:rsidRPr="00A42C5E">
        <w:rPr>
          <w:rFonts w:ascii="Bookman Old Style" w:hAnsi="Bookman Old Style" w:cs="Times New Roman"/>
          <w:i/>
          <w:sz w:val="24"/>
          <w:szCs w:val="24"/>
        </w:rPr>
        <w:t>“El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w:t>
      </w:r>
      <w:r>
        <w:rPr>
          <w:rFonts w:ascii="Bookman Old Style" w:hAnsi="Bookman Old Style" w:cs="Times New Roman"/>
          <w:sz w:val="24"/>
          <w:szCs w:val="24"/>
        </w:rPr>
        <w:t xml:space="preserve"> </w:t>
      </w:r>
    </w:p>
    <w:p w:rsidR="00C82980" w:rsidRDefault="0041728A" w:rsidP="00103230">
      <w:pPr>
        <w:ind w:left="705" w:hanging="705"/>
        <w:jc w:val="both"/>
        <w:rPr>
          <w:rFonts w:ascii="Bookman Old Style" w:hAnsi="Bookman Old Style" w:cs="Times New Roman"/>
          <w:sz w:val="24"/>
          <w:szCs w:val="24"/>
        </w:rPr>
      </w:pPr>
      <w:r w:rsidRPr="00AC1F0E">
        <w:rPr>
          <w:rFonts w:ascii="Bookman Old Style" w:hAnsi="Bookman Old Style" w:cs="Times New Roman"/>
          <w:b/>
          <w:sz w:val="24"/>
          <w:szCs w:val="24"/>
        </w:rPr>
        <w:t xml:space="preserve">QUE, </w:t>
      </w:r>
      <w:r w:rsidRPr="00AC1F0E">
        <w:rPr>
          <w:rFonts w:ascii="Bookman Old Style" w:hAnsi="Bookman Old Style" w:cs="Times New Roman"/>
          <w:b/>
          <w:sz w:val="24"/>
          <w:szCs w:val="24"/>
        </w:rPr>
        <w:tab/>
        <w:t xml:space="preserve"> </w:t>
      </w:r>
      <w:r w:rsidR="008E267C" w:rsidRPr="00AC1F0E">
        <w:rPr>
          <w:rFonts w:ascii="Bookman Old Style" w:hAnsi="Bookman Old Style" w:cs="Times New Roman"/>
          <w:sz w:val="24"/>
          <w:szCs w:val="24"/>
        </w:rPr>
        <w:t>el</w:t>
      </w:r>
      <w:r w:rsidRPr="00AC1F0E">
        <w:rPr>
          <w:rFonts w:ascii="Bookman Old Style" w:hAnsi="Bookman Old Style" w:cs="Times New Roman"/>
          <w:sz w:val="24"/>
          <w:szCs w:val="24"/>
        </w:rPr>
        <w:t xml:space="preserve"> Código Orgánico de Organización Territorial, Autonomía y Descentralización (COOTAD), </w:t>
      </w:r>
      <w:r w:rsidR="008E267C" w:rsidRPr="00AC1F0E">
        <w:rPr>
          <w:rFonts w:ascii="Bookman Old Style" w:hAnsi="Bookman Old Style" w:cs="Times New Roman"/>
          <w:sz w:val="24"/>
          <w:szCs w:val="24"/>
        </w:rPr>
        <w:t>en sus artículos 5 y 6 establece y garantiza que los gobiernos autónomos descentralizados gozan de autonomía política, administrativa y financiera, en concordancia con lo que establece el artículo 238, inciso primero, de la Constitución de la República del Ecuador;</w:t>
      </w:r>
    </w:p>
    <w:p w:rsidR="00B01EAC" w:rsidRDefault="001F140C" w:rsidP="00656476">
      <w:pPr>
        <w:ind w:left="705" w:hanging="705"/>
        <w:jc w:val="both"/>
        <w:rPr>
          <w:rFonts w:ascii="Bookman Old Style" w:hAnsi="Bookman Old Style" w:cs="Times New Roman"/>
          <w:sz w:val="24"/>
          <w:szCs w:val="24"/>
        </w:rPr>
      </w:pPr>
      <w:r w:rsidRPr="00AC1F0E">
        <w:rPr>
          <w:rFonts w:ascii="Bookman Old Style" w:hAnsi="Bookman Old Style" w:cs="Times New Roman"/>
          <w:b/>
          <w:sz w:val="24"/>
          <w:szCs w:val="24"/>
        </w:rPr>
        <w:t>QUE,</w:t>
      </w:r>
      <w:r w:rsidR="00B01EAC">
        <w:rPr>
          <w:rFonts w:ascii="Bookman Old Style" w:hAnsi="Bookman Old Style" w:cs="Times New Roman"/>
          <w:sz w:val="24"/>
          <w:szCs w:val="24"/>
        </w:rPr>
        <w:tab/>
        <w:t xml:space="preserve">el artículo 9 de la Ley Orgánica de Empresas Públicas determina las atribuciones del Directorio de las empresas públicas, entre las cuales, está: </w:t>
      </w:r>
      <w:r w:rsidR="00B01EAC" w:rsidRPr="00B3218F">
        <w:rPr>
          <w:rFonts w:ascii="Bookman Old Style" w:hAnsi="Bookman Old Style" w:cs="Times New Roman"/>
          <w:i/>
          <w:sz w:val="24"/>
          <w:szCs w:val="24"/>
        </w:rPr>
        <w:t>“5. Aprobar el Presupuesto General de la Empresa y evaluar su ejecución</w:t>
      </w:r>
      <w:r w:rsidR="00B01EAC">
        <w:rPr>
          <w:rFonts w:ascii="Bookman Old Style" w:hAnsi="Bookman Old Style" w:cs="Times New Roman"/>
          <w:sz w:val="24"/>
          <w:szCs w:val="24"/>
        </w:rPr>
        <w:t xml:space="preserve">”; </w:t>
      </w:r>
    </w:p>
    <w:p w:rsidR="0086402E" w:rsidRPr="00103230" w:rsidRDefault="00B01EAC" w:rsidP="00B01EAC">
      <w:pPr>
        <w:ind w:left="705" w:hanging="705"/>
        <w:jc w:val="both"/>
        <w:rPr>
          <w:rFonts w:ascii="Bookman Old Style" w:hAnsi="Bookman Old Style" w:cs="Times New Roman"/>
          <w:i/>
          <w:sz w:val="24"/>
          <w:szCs w:val="24"/>
        </w:rPr>
      </w:pPr>
      <w:r w:rsidRPr="00B01EAC">
        <w:rPr>
          <w:rFonts w:ascii="Bookman Old Style" w:hAnsi="Bookman Old Style" w:cs="Times New Roman"/>
          <w:b/>
          <w:sz w:val="24"/>
          <w:szCs w:val="24"/>
        </w:rPr>
        <w:t>QUE,</w:t>
      </w:r>
      <w:r>
        <w:rPr>
          <w:rFonts w:ascii="Bookman Old Style" w:hAnsi="Bookman Old Style" w:cs="Times New Roman"/>
          <w:sz w:val="24"/>
          <w:szCs w:val="24"/>
        </w:rPr>
        <w:t xml:space="preserve"> </w:t>
      </w:r>
      <w:r>
        <w:rPr>
          <w:rFonts w:ascii="Bookman Old Style" w:hAnsi="Bookman Old Style" w:cs="Times New Roman"/>
          <w:sz w:val="24"/>
          <w:szCs w:val="24"/>
        </w:rPr>
        <w:tab/>
      </w:r>
      <w:r w:rsidR="001F140C" w:rsidRPr="00AC1F0E">
        <w:rPr>
          <w:rFonts w:ascii="Bookman Old Style" w:hAnsi="Bookman Old Style" w:cs="Times New Roman"/>
          <w:sz w:val="24"/>
          <w:szCs w:val="24"/>
        </w:rPr>
        <w:t xml:space="preserve">el Código Municipal en su artículo I.2.80. establece los deberes y atribuciones del Directorio de las Empresas Públicas Metropolitanas, entre las cuales, se encuentra: </w:t>
      </w:r>
      <w:r w:rsidR="001F140C" w:rsidRPr="00AC1F0E">
        <w:rPr>
          <w:rFonts w:ascii="Bookman Old Style" w:hAnsi="Bookman Old Style" w:cs="Times New Roman"/>
          <w:i/>
          <w:sz w:val="24"/>
          <w:szCs w:val="24"/>
        </w:rPr>
        <w:t>“</w:t>
      </w:r>
      <w:proofErr w:type="spellStart"/>
      <w:r w:rsidR="0086402E">
        <w:rPr>
          <w:rFonts w:ascii="Bookman Old Style" w:hAnsi="Bookman Old Style" w:cs="Times New Roman"/>
          <w:i/>
          <w:sz w:val="24"/>
          <w:szCs w:val="24"/>
        </w:rPr>
        <w:t>e</w:t>
      </w:r>
      <w:proofErr w:type="spellEnd"/>
      <w:r w:rsidR="00B3218F">
        <w:rPr>
          <w:rFonts w:ascii="Bookman Old Style" w:hAnsi="Bookman Old Style" w:cs="Times New Roman"/>
          <w:i/>
          <w:sz w:val="24"/>
          <w:szCs w:val="24"/>
        </w:rPr>
        <w:t xml:space="preserve">. </w:t>
      </w:r>
      <w:r w:rsidR="0086402E">
        <w:rPr>
          <w:rFonts w:ascii="Bookman Old Style" w:hAnsi="Bookman Old Style" w:cs="Times New Roman"/>
          <w:i/>
          <w:sz w:val="24"/>
          <w:szCs w:val="24"/>
        </w:rPr>
        <w:t xml:space="preserve">Aprobar la planificación y el presupuesto de la empresa pública metropolitana, en concordancia con la planificación estratégica del Distrito </w:t>
      </w:r>
      <w:r w:rsidR="0086402E" w:rsidRPr="00103230">
        <w:rPr>
          <w:rFonts w:ascii="Bookman Old Style" w:hAnsi="Bookman Old Style" w:cs="Times New Roman"/>
          <w:i/>
          <w:sz w:val="24"/>
          <w:szCs w:val="24"/>
        </w:rPr>
        <w:t xml:space="preserve">Metropolitano de Quito, así como evaluar su ejecución”; </w:t>
      </w:r>
    </w:p>
    <w:p w:rsidR="00103230" w:rsidRDefault="00103230" w:rsidP="00103230">
      <w:pPr>
        <w:ind w:left="705" w:hanging="705"/>
        <w:jc w:val="both"/>
        <w:rPr>
          <w:rFonts w:ascii="Bookman Old Style" w:hAnsi="Bookman Old Style" w:cs="Times New Roman"/>
          <w:sz w:val="24"/>
          <w:szCs w:val="24"/>
        </w:rPr>
      </w:pPr>
      <w:r w:rsidRPr="00103230">
        <w:rPr>
          <w:rFonts w:ascii="Bookman Old Style" w:hAnsi="Bookman Old Style" w:cs="Times New Roman"/>
          <w:b/>
          <w:sz w:val="24"/>
          <w:szCs w:val="24"/>
        </w:rPr>
        <w:t xml:space="preserve">QUE, </w:t>
      </w:r>
      <w:r w:rsidRPr="00103230">
        <w:rPr>
          <w:rFonts w:ascii="Bookman Old Style" w:hAnsi="Bookman Old Style" w:cs="Times New Roman"/>
          <w:b/>
          <w:sz w:val="24"/>
          <w:szCs w:val="24"/>
        </w:rPr>
        <w:tab/>
      </w:r>
      <w:r w:rsidRPr="00103230">
        <w:rPr>
          <w:rFonts w:ascii="Bookman Old Style" w:hAnsi="Bookman Old Style" w:cs="Times New Roman"/>
          <w:sz w:val="24"/>
          <w:szCs w:val="24"/>
        </w:rPr>
        <w:t>el Concejo del Distrito Metropolitano de Quito mediante Ordenanza Metropolitana No. 0314 de 12 de julio de 2010, publicada en el Registro Oficial No. 246 de 29 de julio de 2010, creó la Empresa Pública Metropolitana de Transporte de Pasajeros de Quito (EPMTPQ);</w:t>
      </w:r>
    </w:p>
    <w:p w:rsidR="00FE28F6" w:rsidRPr="007526EA" w:rsidRDefault="00103230" w:rsidP="00103230">
      <w:pPr>
        <w:ind w:left="705" w:hanging="705"/>
        <w:jc w:val="both"/>
        <w:rPr>
          <w:rFonts w:ascii="Bookman Old Style" w:hAnsi="Bookman Old Style" w:cs="Times New Roman"/>
          <w:sz w:val="24"/>
          <w:szCs w:val="24"/>
        </w:rPr>
      </w:pPr>
      <w:r>
        <w:rPr>
          <w:rFonts w:ascii="Bookman Old Style" w:hAnsi="Bookman Old Style" w:cs="Times New Roman"/>
          <w:b/>
          <w:sz w:val="24"/>
          <w:szCs w:val="24"/>
        </w:rPr>
        <w:lastRenderedPageBreak/>
        <w:t xml:space="preserve">QUE, </w:t>
      </w:r>
      <w:r w:rsidRPr="00103230">
        <w:rPr>
          <w:rFonts w:ascii="Bookman Old Style" w:hAnsi="Bookman Old Style" w:cs="Times New Roman"/>
          <w:sz w:val="24"/>
          <w:szCs w:val="24"/>
        </w:rPr>
        <w:t>con Ordenanza Metropolitana No. 001 sancionada el 29 de marzo de 2019, se emite la reforma al Código Municipal para el Distrito Metropolitano de Quito y, se incorpora la creación de la Empresa Pública Metropolitana de Transporte de Pasajeros de Quito, en el art</w:t>
      </w:r>
      <w:r>
        <w:rPr>
          <w:rFonts w:ascii="Bookman Old Style" w:hAnsi="Bookman Old Style" w:cs="Times New Roman"/>
          <w:sz w:val="24"/>
          <w:szCs w:val="24"/>
        </w:rPr>
        <w:t xml:space="preserve">ículo I.2.143 y los siguientes contenidos en el Capítulo IX de este Código; </w:t>
      </w:r>
    </w:p>
    <w:p w:rsidR="007526EA" w:rsidRDefault="00FE28F6" w:rsidP="00B01EAC">
      <w:pPr>
        <w:ind w:left="705" w:hanging="705"/>
        <w:jc w:val="both"/>
        <w:rPr>
          <w:rFonts w:ascii="Bookman Old Style" w:hAnsi="Bookman Old Style" w:cs="Times New Roman"/>
          <w:sz w:val="24"/>
          <w:szCs w:val="24"/>
        </w:rPr>
      </w:pPr>
      <w:r w:rsidRPr="007526EA">
        <w:rPr>
          <w:rFonts w:ascii="Bookman Old Style" w:hAnsi="Bookman Old Style" w:cs="Times New Roman"/>
          <w:b/>
          <w:sz w:val="24"/>
          <w:szCs w:val="24"/>
        </w:rPr>
        <w:t>QUE,</w:t>
      </w:r>
      <w:r w:rsidRPr="007526EA">
        <w:rPr>
          <w:rFonts w:ascii="Bookman Old Style" w:hAnsi="Bookman Old Style" w:cs="Times New Roman"/>
          <w:sz w:val="24"/>
          <w:szCs w:val="24"/>
        </w:rPr>
        <w:t xml:space="preserve"> mediante Ordenanza</w:t>
      </w:r>
      <w:r w:rsidR="007526EA" w:rsidRPr="007526EA">
        <w:rPr>
          <w:rFonts w:ascii="Bookman Old Style" w:hAnsi="Bookman Old Style" w:cs="Times New Roman"/>
          <w:sz w:val="24"/>
          <w:szCs w:val="24"/>
        </w:rPr>
        <w:t xml:space="preserve"> PMU</w:t>
      </w:r>
      <w:r w:rsidRPr="007526EA">
        <w:rPr>
          <w:rFonts w:ascii="Bookman Old Style" w:hAnsi="Bookman Old Style" w:cs="Times New Roman"/>
          <w:sz w:val="24"/>
          <w:szCs w:val="24"/>
        </w:rPr>
        <w:t xml:space="preserve"> No. 003-2020</w:t>
      </w:r>
      <w:r w:rsidR="007526EA" w:rsidRPr="007526EA">
        <w:rPr>
          <w:rFonts w:ascii="Bookman Old Style" w:hAnsi="Bookman Old Style" w:cs="Times New Roman"/>
          <w:sz w:val="24"/>
          <w:szCs w:val="24"/>
        </w:rPr>
        <w:t xml:space="preserve"> sancionada el 19 de noviembre de 2020, el</w:t>
      </w:r>
      <w:r w:rsidR="007526EA">
        <w:rPr>
          <w:rFonts w:ascii="Bookman Old Style" w:hAnsi="Bookman Old Style" w:cs="Times New Roman"/>
          <w:sz w:val="24"/>
          <w:szCs w:val="24"/>
        </w:rPr>
        <w:t xml:space="preserve"> Concejo del Distrito Metropolitano de Quito, expide la “Ordenanza Reformatoria de la Ordenanza PMU No. 002-2019 del 05 de diciembre de 2019 que aprobó el Presupuesto General del Municipio del Distrito Metropolitano de Quito para el ejercicio económico 2020”; </w:t>
      </w:r>
    </w:p>
    <w:p w:rsidR="00B3218F" w:rsidRDefault="00944191" w:rsidP="007526EA">
      <w:pPr>
        <w:ind w:left="705" w:hanging="705"/>
        <w:jc w:val="both"/>
        <w:rPr>
          <w:rFonts w:ascii="Bookman Old Style" w:hAnsi="Bookman Old Style" w:cs="Times New Roman"/>
          <w:sz w:val="24"/>
          <w:szCs w:val="24"/>
        </w:rPr>
      </w:pPr>
      <w:r>
        <w:rPr>
          <w:rFonts w:ascii="Bookman Old Style" w:hAnsi="Bookman Old Style" w:cs="Times New Roman"/>
          <w:b/>
          <w:sz w:val="24"/>
          <w:szCs w:val="24"/>
        </w:rPr>
        <w:t>QUE</w:t>
      </w:r>
      <w:r w:rsidR="00AE0D87">
        <w:rPr>
          <w:rFonts w:ascii="Bookman Old Style" w:hAnsi="Bookman Old Style" w:cs="Times New Roman"/>
          <w:b/>
          <w:sz w:val="24"/>
          <w:szCs w:val="24"/>
        </w:rPr>
        <w:t>,</w:t>
      </w:r>
      <w:r w:rsidR="00AE0D87">
        <w:rPr>
          <w:rFonts w:ascii="Bookman Old Style" w:hAnsi="Bookman Old Style" w:cs="Times New Roman"/>
          <w:b/>
          <w:sz w:val="24"/>
          <w:szCs w:val="24"/>
        </w:rPr>
        <w:tab/>
      </w:r>
      <w:r w:rsidR="00AE0D87" w:rsidRPr="00AE0D87">
        <w:rPr>
          <w:rFonts w:ascii="Bookman Old Style" w:hAnsi="Bookman Old Style" w:cs="Times New Roman"/>
          <w:sz w:val="24"/>
          <w:szCs w:val="24"/>
        </w:rPr>
        <w:t xml:space="preserve">mediante Resolución No. </w:t>
      </w:r>
      <w:r w:rsidR="00AE0D87">
        <w:rPr>
          <w:rFonts w:ascii="Bookman Old Style" w:hAnsi="Bookman Old Style" w:cs="Times New Roman"/>
          <w:sz w:val="24"/>
          <w:szCs w:val="24"/>
        </w:rPr>
        <w:t>DIR-EPMTPQ-2018-003</w:t>
      </w:r>
      <w:r w:rsidR="00AE0D87" w:rsidRPr="00AE0D87">
        <w:rPr>
          <w:rFonts w:ascii="Bookman Old Style" w:hAnsi="Bookman Old Style" w:cs="Times New Roman"/>
          <w:sz w:val="24"/>
          <w:szCs w:val="24"/>
        </w:rPr>
        <w:t xml:space="preserve"> de 19 de octubre de 2018, el Directorio de la EPMTPQ aprobó el</w:t>
      </w:r>
      <w:r w:rsidR="00AE0D87">
        <w:rPr>
          <w:rFonts w:ascii="Bookman Old Style" w:hAnsi="Bookman Old Style" w:cs="Times New Roman"/>
          <w:b/>
          <w:sz w:val="24"/>
          <w:szCs w:val="24"/>
        </w:rPr>
        <w:t xml:space="preserve"> </w:t>
      </w:r>
      <w:r w:rsidR="00AE0D87" w:rsidRPr="00B83AC6">
        <w:rPr>
          <w:rFonts w:ascii="Bookman Old Style" w:hAnsi="Bookman Old Style" w:cs="Times New Roman"/>
          <w:sz w:val="24"/>
          <w:szCs w:val="24"/>
        </w:rPr>
        <w:t>“</w:t>
      </w:r>
      <w:r w:rsidR="00B83AC6" w:rsidRPr="00B83AC6">
        <w:rPr>
          <w:rFonts w:ascii="Bookman Old Style" w:hAnsi="Bookman Old Style" w:cs="Times New Roman"/>
          <w:sz w:val="24"/>
          <w:szCs w:val="24"/>
        </w:rPr>
        <w:t>Reglamento Interno del Directorio de la Empresa Pública Metropolitana de Transporte de Pasajeros de Quito”</w:t>
      </w:r>
      <w:r w:rsidR="00AE0D87">
        <w:rPr>
          <w:rFonts w:ascii="Bookman Old Style" w:hAnsi="Bookman Old Style" w:cs="Times New Roman"/>
          <w:sz w:val="24"/>
          <w:szCs w:val="24"/>
        </w:rPr>
        <w:t>;</w:t>
      </w:r>
    </w:p>
    <w:p w:rsidR="00AE0D87" w:rsidRDefault="00AE0D87" w:rsidP="00B83AC6">
      <w:pPr>
        <w:ind w:left="705" w:hanging="705"/>
        <w:jc w:val="both"/>
        <w:rPr>
          <w:rFonts w:ascii="Bookman Old Style" w:hAnsi="Bookman Old Style" w:cs="Times New Roman"/>
          <w:sz w:val="24"/>
          <w:szCs w:val="24"/>
        </w:rPr>
      </w:pPr>
      <w:r>
        <w:rPr>
          <w:rFonts w:ascii="Bookman Old Style" w:hAnsi="Bookman Old Style" w:cs="Times New Roman"/>
          <w:b/>
          <w:sz w:val="24"/>
          <w:szCs w:val="24"/>
        </w:rPr>
        <w:t>QUE,</w:t>
      </w:r>
      <w:r>
        <w:rPr>
          <w:rFonts w:ascii="Bookman Old Style" w:hAnsi="Bookman Old Style" w:cs="Times New Roman"/>
          <w:b/>
          <w:sz w:val="24"/>
          <w:szCs w:val="24"/>
        </w:rPr>
        <w:tab/>
        <w:t xml:space="preserve"> </w:t>
      </w:r>
      <w:r w:rsidRPr="00AE0D87">
        <w:rPr>
          <w:rFonts w:ascii="Bookman Old Style" w:hAnsi="Bookman Old Style" w:cs="Times New Roman"/>
          <w:sz w:val="24"/>
          <w:szCs w:val="24"/>
        </w:rPr>
        <w:t xml:space="preserve">el literal k) del artículo 6 del “Reglamento </w:t>
      </w:r>
      <w:r w:rsidRPr="00B83AC6">
        <w:rPr>
          <w:rFonts w:ascii="Bookman Old Style" w:hAnsi="Bookman Old Style" w:cs="Times New Roman"/>
          <w:sz w:val="24"/>
          <w:szCs w:val="24"/>
        </w:rPr>
        <w:t>Interno del Directorio de la Empresa Pública Metropolitana de Transporte de Pasajeros de Quito</w:t>
      </w:r>
      <w:r>
        <w:rPr>
          <w:rFonts w:ascii="Bookman Old Style" w:hAnsi="Bookman Old Style" w:cs="Times New Roman"/>
          <w:sz w:val="24"/>
          <w:szCs w:val="24"/>
        </w:rPr>
        <w:t>”, señala que es atribución del Directorio de la EPMTPQ “</w:t>
      </w:r>
      <w:r w:rsidRPr="00AE0D87">
        <w:rPr>
          <w:rFonts w:ascii="Bookman Old Style" w:hAnsi="Bookman Old Style" w:cs="Times New Roman"/>
          <w:i/>
          <w:sz w:val="24"/>
          <w:szCs w:val="24"/>
        </w:rPr>
        <w:t>Autorizar incrementos o disminuciones al techo presupuestario inicial aprobado”;</w:t>
      </w:r>
      <w:r>
        <w:rPr>
          <w:rFonts w:ascii="Bookman Old Style" w:hAnsi="Bookman Old Style" w:cs="Times New Roman"/>
          <w:sz w:val="24"/>
          <w:szCs w:val="24"/>
        </w:rPr>
        <w:t xml:space="preserve"> </w:t>
      </w:r>
    </w:p>
    <w:p w:rsidR="007526EA" w:rsidRDefault="00AE0D87" w:rsidP="007526EA">
      <w:pPr>
        <w:ind w:left="705" w:hanging="705"/>
        <w:jc w:val="both"/>
        <w:rPr>
          <w:rFonts w:ascii="Bookman Old Style" w:hAnsi="Bookman Old Style" w:cs="Times New Roman"/>
          <w:sz w:val="24"/>
          <w:szCs w:val="24"/>
        </w:rPr>
      </w:pPr>
      <w:r>
        <w:rPr>
          <w:rFonts w:ascii="Bookman Old Style" w:hAnsi="Bookman Old Style" w:cs="Times New Roman"/>
          <w:b/>
          <w:sz w:val="24"/>
          <w:szCs w:val="24"/>
        </w:rPr>
        <w:t xml:space="preserve">QUE, </w:t>
      </w:r>
      <w:r>
        <w:rPr>
          <w:rFonts w:ascii="Bookman Old Style" w:hAnsi="Bookman Old Style" w:cs="Times New Roman"/>
          <w:sz w:val="24"/>
          <w:szCs w:val="24"/>
        </w:rPr>
        <w:t>el</w:t>
      </w:r>
      <w:r w:rsidRPr="00AE0D87">
        <w:rPr>
          <w:rFonts w:ascii="Bookman Old Style" w:hAnsi="Bookman Old Style" w:cs="Times New Roman"/>
          <w:sz w:val="24"/>
          <w:szCs w:val="24"/>
        </w:rPr>
        <w:t xml:space="preserve"> Directorio de la Empresa Pública Metropolitana de Transporte de Pasajeros de Quito, en la Sesión Ordinaria DIR-EPMTPQ-001-2020, efectuada el 13 de enero de 2020, aprob</w:t>
      </w:r>
      <w:r>
        <w:rPr>
          <w:rFonts w:ascii="Bookman Old Style" w:hAnsi="Bookman Old Style" w:cs="Times New Roman"/>
          <w:sz w:val="24"/>
          <w:szCs w:val="24"/>
        </w:rPr>
        <w:t>ó la Planificación Operativa Anual y la Proforma Presupuestaria 2020, con un techo presupuestario de USD 94’522.138,42 que deriva de los ingresos propios en USD 53’522,138,42 y la asignación del Municipio de Quito de USD 41’000.000</w:t>
      </w:r>
      <w:r w:rsidR="00FE28F6">
        <w:rPr>
          <w:rFonts w:ascii="Bookman Old Style" w:hAnsi="Bookman Old Style" w:cs="Times New Roman"/>
          <w:sz w:val="24"/>
          <w:szCs w:val="24"/>
        </w:rPr>
        <w:t>,00;</w:t>
      </w:r>
    </w:p>
    <w:p w:rsidR="007526EA" w:rsidRDefault="007526EA" w:rsidP="00B83AC6">
      <w:pPr>
        <w:ind w:left="705" w:hanging="705"/>
        <w:jc w:val="both"/>
        <w:rPr>
          <w:rFonts w:ascii="Bookman Old Style" w:hAnsi="Bookman Old Style" w:cs="Times New Roman"/>
          <w:sz w:val="24"/>
          <w:szCs w:val="24"/>
        </w:rPr>
      </w:pPr>
      <w:r w:rsidRPr="007526EA">
        <w:rPr>
          <w:rFonts w:ascii="Bookman Old Style" w:hAnsi="Bookman Old Style" w:cs="Times New Roman"/>
          <w:b/>
          <w:sz w:val="24"/>
          <w:szCs w:val="24"/>
        </w:rPr>
        <w:t>QUE,</w:t>
      </w:r>
      <w:r>
        <w:rPr>
          <w:rFonts w:ascii="Bookman Old Style" w:hAnsi="Bookman Old Style" w:cs="Times New Roman"/>
          <w:sz w:val="24"/>
          <w:szCs w:val="24"/>
        </w:rPr>
        <w:t xml:space="preserve"> mediante Memorando No. EPMTPQ-GP-2020-0500-M de 19 de noviembre de 2020, el Ing. Marcelo Pazmiño, Gerente de Planificación de la Empresa Pública Metropolitana de Pasajeros de Quito, </w:t>
      </w:r>
      <w:r w:rsidRPr="00736C49">
        <w:rPr>
          <w:rFonts w:ascii="Bookman Old Style" w:hAnsi="Bookman Old Style" w:cs="Times New Roman"/>
          <w:i/>
          <w:sz w:val="24"/>
          <w:szCs w:val="24"/>
        </w:rPr>
        <w:t>“presenta la Reforma al Plan Operativo Anual 2020, conforme la nueva estimación de ingresos enviada por la Gerencia Administrativa Financiera de la EPMTPQ, y la reduc</w:t>
      </w:r>
      <w:r w:rsidR="00736C49" w:rsidRPr="00736C49">
        <w:rPr>
          <w:rFonts w:ascii="Bookman Old Style" w:hAnsi="Bookman Old Style" w:cs="Times New Roman"/>
          <w:i/>
          <w:sz w:val="24"/>
          <w:szCs w:val="24"/>
        </w:rPr>
        <w:t>ción de la asignación municipal, con la finalidad de continuar con el proceso de aprobación del nuevo techo presupuestario (…)”;</w:t>
      </w:r>
      <w:r w:rsidR="00736C49">
        <w:rPr>
          <w:rFonts w:ascii="Bookman Old Style" w:hAnsi="Bookman Old Style" w:cs="Times New Roman"/>
          <w:sz w:val="24"/>
          <w:szCs w:val="24"/>
        </w:rPr>
        <w:t xml:space="preserve"> </w:t>
      </w:r>
    </w:p>
    <w:p w:rsidR="00736C49" w:rsidRDefault="00736C49" w:rsidP="00103230">
      <w:pPr>
        <w:ind w:left="705" w:hanging="705"/>
        <w:jc w:val="both"/>
        <w:rPr>
          <w:rFonts w:ascii="Bookman Old Style" w:hAnsi="Bookman Old Style" w:cs="Times New Roman"/>
          <w:sz w:val="24"/>
          <w:szCs w:val="24"/>
        </w:rPr>
      </w:pPr>
      <w:r>
        <w:rPr>
          <w:rFonts w:ascii="Bookman Old Style" w:hAnsi="Bookman Old Style" w:cs="Times New Roman"/>
          <w:b/>
          <w:sz w:val="24"/>
          <w:szCs w:val="24"/>
        </w:rPr>
        <w:t xml:space="preserve">QUE, </w:t>
      </w:r>
      <w:r w:rsidRPr="00736C49">
        <w:rPr>
          <w:rFonts w:ascii="Bookman Old Style" w:hAnsi="Bookman Old Style" w:cs="Times New Roman"/>
          <w:sz w:val="24"/>
          <w:szCs w:val="24"/>
        </w:rPr>
        <w:t>mediante Memorando No. EPMTPQ-GAF-2020-0781-M de 20 de noviembre de 2020, el Ing. Marce</w:t>
      </w:r>
      <w:r>
        <w:rPr>
          <w:rFonts w:ascii="Bookman Old Style" w:hAnsi="Bookman Old Style" w:cs="Times New Roman"/>
          <w:sz w:val="24"/>
          <w:szCs w:val="24"/>
        </w:rPr>
        <w:t>l</w:t>
      </w:r>
      <w:r w:rsidRPr="00736C49">
        <w:rPr>
          <w:rFonts w:ascii="Bookman Old Style" w:hAnsi="Bookman Old Style" w:cs="Times New Roman"/>
          <w:sz w:val="24"/>
          <w:szCs w:val="24"/>
        </w:rPr>
        <w:t>o Rodríguez, Gerente Administrativo de la EPMTPQ, presenta el Informe Financiero de la Reforma Presupuestaria del periodo 2020</w:t>
      </w:r>
      <w:r>
        <w:rPr>
          <w:rFonts w:ascii="Bookman Old Style" w:hAnsi="Bookman Old Style" w:cs="Times New Roman"/>
          <w:sz w:val="24"/>
          <w:szCs w:val="24"/>
        </w:rPr>
        <w:t>, el cual, en el punto 5, concluye “</w:t>
      </w:r>
      <w:r w:rsidRPr="00736C49">
        <w:rPr>
          <w:rFonts w:ascii="Bookman Old Style" w:hAnsi="Bookman Old Style" w:cs="Times New Roman"/>
          <w:i/>
          <w:sz w:val="24"/>
          <w:szCs w:val="24"/>
        </w:rPr>
        <w:t xml:space="preserve">(…) De acuerdo al presente análisis se expone la reforma de reducción al techo presupuestario de USD 94’522.138,42 a un </w:t>
      </w:r>
      <w:r w:rsidRPr="00736C49">
        <w:rPr>
          <w:rFonts w:ascii="Bookman Old Style" w:hAnsi="Bookman Old Style" w:cs="Times New Roman"/>
          <w:i/>
          <w:sz w:val="24"/>
          <w:szCs w:val="24"/>
        </w:rPr>
        <w:lastRenderedPageBreak/>
        <w:t xml:space="preserve">valor de USD  65.932.146,99, reduciendo un valor de USD -28.589,991,43 en ingresos y gastos de manera equilibrada”, </w:t>
      </w:r>
      <w:r w:rsidRPr="00736C49">
        <w:rPr>
          <w:rFonts w:ascii="Bookman Old Style" w:hAnsi="Bookman Old Style" w:cs="Times New Roman"/>
          <w:sz w:val="24"/>
          <w:szCs w:val="24"/>
        </w:rPr>
        <w:t>y recomienda</w:t>
      </w:r>
      <w:r w:rsidRPr="00736C49">
        <w:rPr>
          <w:rFonts w:ascii="Bookman Old Style" w:hAnsi="Bookman Old Style" w:cs="Times New Roman"/>
          <w:i/>
          <w:sz w:val="24"/>
          <w:szCs w:val="24"/>
        </w:rPr>
        <w:t xml:space="preserve"> “(…) Una vez revisada la Reforma Presupuestaria al techo 2020 por parte de la Gerencia General, se sugiere poner en conocimiento del Directorio de la Empresa de Transporte de Pasajeros de Quito, la Primera Reforma Presupuestaria 2020, para su aprobación</w:t>
      </w:r>
      <w:r>
        <w:rPr>
          <w:rFonts w:ascii="Bookman Old Style" w:hAnsi="Bookman Old Style" w:cs="Times New Roman"/>
          <w:sz w:val="24"/>
          <w:szCs w:val="24"/>
        </w:rPr>
        <w:t xml:space="preserve">”; </w:t>
      </w:r>
    </w:p>
    <w:p w:rsidR="00AE0D87" w:rsidRDefault="00736C49" w:rsidP="00103230">
      <w:pPr>
        <w:ind w:left="705" w:hanging="705"/>
        <w:jc w:val="both"/>
        <w:rPr>
          <w:rFonts w:ascii="Bookman Old Style" w:hAnsi="Bookman Old Style" w:cs="Times New Roman"/>
          <w:sz w:val="24"/>
          <w:szCs w:val="24"/>
        </w:rPr>
      </w:pPr>
      <w:r w:rsidRPr="00C82980">
        <w:rPr>
          <w:rFonts w:ascii="Bookman Old Style" w:hAnsi="Bookman Old Style" w:cs="Times New Roman"/>
          <w:b/>
          <w:sz w:val="24"/>
          <w:szCs w:val="24"/>
        </w:rPr>
        <w:t>QUE,</w:t>
      </w:r>
      <w:r>
        <w:rPr>
          <w:rFonts w:ascii="Bookman Old Style" w:hAnsi="Bookman Old Style" w:cs="Times New Roman"/>
          <w:sz w:val="24"/>
          <w:szCs w:val="24"/>
        </w:rPr>
        <w:t xml:space="preserve"> mediante Memorando No. EPMTPQ-GJ-2020-0820-M de 20 de noviembre de 2020, el Abg. Guido Vallejo, Gerente Jurídico de la EPMTPQ, </w:t>
      </w:r>
      <w:r w:rsidR="00C82980">
        <w:rPr>
          <w:rFonts w:ascii="Bookman Old Style" w:hAnsi="Bookman Old Style" w:cs="Times New Roman"/>
          <w:sz w:val="24"/>
          <w:szCs w:val="24"/>
        </w:rPr>
        <w:t xml:space="preserve">señala </w:t>
      </w:r>
      <w:r w:rsidR="00C82980" w:rsidRPr="00C82980">
        <w:rPr>
          <w:rFonts w:ascii="Bookman Old Style" w:hAnsi="Bookman Old Style" w:cs="Times New Roman"/>
          <w:i/>
          <w:sz w:val="24"/>
          <w:szCs w:val="24"/>
        </w:rPr>
        <w:t>“(…) la Ley Orgánica de Empresas Públicas establece, entre las atribuciones del Directorio, aprobar el Presupuesto General de la Empresa y evaluar su ejecución; por lo tanto, no es competencia de la Gerencia General aprobar el techo presupuestario elaborado por la Gerencia de Planificación, sino que  éste deber ser puesto en conocimiento del Directorio de la Empresa Pública de Transporte de Pasajeros de Quito, con el fin de que sea aprobado el nuevo techo presupuestario de esta Empresa Pública, planteado para ajustarse a la reforma presupuestaria del presupuesto general del Municipio del Distrito Metropolitano de Quito para el ejercicio económico 2020 aprobado por el Concejo Metropolitano  a través de la Ordenanza Metropolitana PMU No. 003-2020 sancionada el 19 de noviembre de 2020</w:t>
      </w:r>
      <w:r w:rsidR="00C82980" w:rsidRPr="00103230">
        <w:rPr>
          <w:rFonts w:ascii="Bookman Old Style" w:hAnsi="Bookman Old Style" w:cs="Times New Roman"/>
          <w:sz w:val="24"/>
          <w:szCs w:val="24"/>
        </w:rPr>
        <w:t>”</w:t>
      </w:r>
      <w:r w:rsidR="00103230" w:rsidRPr="00103230">
        <w:rPr>
          <w:rFonts w:ascii="Bookman Old Style" w:hAnsi="Bookman Old Style" w:cs="Times New Roman"/>
          <w:sz w:val="24"/>
          <w:szCs w:val="24"/>
        </w:rPr>
        <w:t>; y</w:t>
      </w:r>
      <w:r w:rsidR="00220873">
        <w:rPr>
          <w:rFonts w:ascii="Bookman Old Style" w:hAnsi="Bookman Old Style" w:cs="Times New Roman"/>
          <w:sz w:val="24"/>
          <w:szCs w:val="24"/>
        </w:rPr>
        <w:t>,</w:t>
      </w:r>
    </w:p>
    <w:p w:rsidR="00AE0D87" w:rsidRPr="00B83AC6" w:rsidRDefault="00AE0D87" w:rsidP="00B83AC6">
      <w:pPr>
        <w:ind w:left="705" w:hanging="705"/>
        <w:jc w:val="both"/>
        <w:rPr>
          <w:rFonts w:ascii="Bookman Old Style" w:hAnsi="Bookman Old Style" w:cs="Times New Roman"/>
          <w:b/>
          <w:sz w:val="24"/>
          <w:szCs w:val="24"/>
        </w:rPr>
      </w:pPr>
    </w:p>
    <w:p w:rsidR="003B0869" w:rsidRPr="00AC1F0E" w:rsidRDefault="003B0869" w:rsidP="001A7118">
      <w:pPr>
        <w:ind w:left="705" w:hanging="705"/>
        <w:jc w:val="both"/>
        <w:rPr>
          <w:rFonts w:ascii="Bookman Old Style" w:hAnsi="Bookman Old Style" w:cs="Times New Roman"/>
          <w:sz w:val="24"/>
          <w:szCs w:val="24"/>
        </w:rPr>
      </w:pPr>
      <w:r w:rsidRPr="00AC1F0E">
        <w:rPr>
          <w:rFonts w:ascii="Bookman Old Style" w:hAnsi="Bookman Old Style" w:cs="Times New Roman"/>
          <w:sz w:val="24"/>
          <w:szCs w:val="24"/>
        </w:rPr>
        <w:t xml:space="preserve">En ejercicio de las atribuciones que le confiere la Ley; </w:t>
      </w:r>
    </w:p>
    <w:p w:rsidR="003B0869" w:rsidRPr="00AC1F0E" w:rsidRDefault="003B0869" w:rsidP="003B0869">
      <w:pPr>
        <w:ind w:left="705" w:hanging="705"/>
        <w:jc w:val="center"/>
        <w:rPr>
          <w:rFonts w:ascii="Bookman Old Style" w:hAnsi="Bookman Old Style" w:cs="Times New Roman"/>
          <w:b/>
          <w:sz w:val="24"/>
          <w:szCs w:val="24"/>
        </w:rPr>
      </w:pPr>
    </w:p>
    <w:p w:rsidR="003B0869" w:rsidRPr="00AC1F0E" w:rsidRDefault="003B0869" w:rsidP="003B0869">
      <w:pPr>
        <w:ind w:left="705" w:hanging="705"/>
        <w:jc w:val="center"/>
        <w:rPr>
          <w:rFonts w:ascii="Bookman Old Style" w:hAnsi="Bookman Old Style" w:cs="Times New Roman"/>
          <w:b/>
          <w:sz w:val="24"/>
          <w:szCs w:val="24"/>
        </w:rPr>
      </w:pPr>
      <w:r w:rsidRPr="00AC1F0E">
        <w:rPr>
          <w:rFonts w:ascii="Bookman Old Style" w:hAnsi="Bookman Old Style" w:cs="Times New Roman"/>
          <w:b/>
          <w:sz w:val="24"/>
          <w:szCs w:val="24"/>
        </w:rPr>
        <w:t>RESUELVE:</w:t>
      </w:r>
    </w:p>
    <w:p w:rsidR="00103230" w:rsidRDefault="00666B66" w:rsidP="00EC175A">
      <w:pPr>
        <w:jc w:val="both"/>
        <w:rPr>
          <w:rFonts w:ascii="Bookman Old Style" w:hAnsi="Bookman Old Style" w:cs="Times New Roman"/>
          <w:sz w:val="24"/>
          <w:szCs w:val="24"/>
        </w:rPr>
      </w:pPr>
      <w:r>
        <w:rPr>
          <w:rFonts w:ascii="Bookman Old Style" w:hAnsi="Bookman Old Style" w:cs="Times New Roman"/>
          <w:b/>
          <w:sz w:val="24"/>
          <w:szCs w:val="24"/>
        </w:rPr>
        <w:t xml:space="preserve">Artículo Único. - </w:t>
      </w:r>
      <w:r w:rsidRPr="00666B66">
        <w:rPr>
          <w:rFonts w:ascii="Bookman Old Style" w:hAnsi="Bookman Old Style" w:cs="Times New Roman"/>
          <w:sz w:val="24"/>
          <w:szCs w:val="24"/>
        </w:rPr>
        <w:t>Aprobar la Reforma Presupuestaria del Presupuesto de la Empresa Pública Metropolitana de Transporte de Pasajeros de Quito para el ejercicio económico 2020,</w:t>
      </w:r>
      <w:r>
        <w:rPr>
          <w:rFonts w:ascii="Bookman Old Style" w:hAnsi="Bookman Old Style" w:cs="Times New Roman"/>
          <w:b/>
          <w:sz w:val="24"/>
          <w:szCs w:val="24"/>
        </w:rPr>
        <w:t xml:space="preserve"> </w:t>
      </w:r>
      <w:r w:rsidRPr="00666B66">
        <w:rPr>
          <w:rFonts w:ascii="Bookman Old Style" w:hAnsi="Bookman Old Style" w:cs="Times New Roman"/>
          <w:sz w:val="24"/>
          <w:szCs w:val="24"/>
        </w:rPr>
        <w:t>conforme se detalla a continuación:</w:t>
      </w:r>
      <w:r>
        <w:rPr>
          <w:rFonts w:ascii="Bookman Old Style" w:hAnsi="Bookman Old Style" w:cs="Times New Roman"/>
          <w:b/>
          <w:sz w:val="24"/>
          <w:szCs w:val="24"/>
        </w:rPr>
        <w:t xml:space="preserve"> </w:t>
      </w:r>
    </w:p>
    <w:p w:rsidR="00103230" w:rsidRDefault="00103230" w:rsidP="00EC175A">
      <w:pPr>
        <w:jc w:val="both"/>
        <w:rPr>
          <w:rFonts w:ascii="Bookman Old Style" w:hAnsi="Bookman Old Style" w:cs="Times New Roman"/>
          <w:sz w:val="24"/>
          <w:szCs w:val="24"/>
        </w:rPr>
      </w:pPr>
    </w:p>
    <w:tbl>
      <w:tblPr>
        <w:tblStyle w:val="Tablanormal1"/>
        <w:tblW w:w="0" w:type="auto"/>
        <w:tblLook w:val="04A0" w:firstRow="1" w:lastRow="0" w:firstColumn="1" w:lastColumn="0" w:noHBand="0" w:noVBand="1"/>
      </w:tblPr>
      <w:tblGrid>
        <w:gridCol w:w="2203"/>
        <w:gridCol w:w="2104"/>
        <w:gridCol w:w="2252"/>
        <w:gridCol w:w="1935"/>
      </w:tblGrid>
      <w:tr w:rsidR="00220873" w:rsidRPr="00220873" w:rsidTr="00220873">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369" w:type="dxa"/>
            <w:hideMark/>
          </w:tcPr>
          <w:p w:rsidR="00220873" w:rsidRPr="00220873" w:rsidRDefault="00220873">
            <w:pPr>
              <w:autoSpaceDE w:val="0"/>
              <w:autoSpaceDN w:val="0"/>
              <w:jc w:val="center"/>
              <w:rPr>
                <w:rFonts w:ascii="Bookman Old Style" w:hAnsi="Bookman Old Style" w:cs="Times New Roman"/>
                <w:sz w:val="24"/>
                <w:szCs w:val="24"/>
              </w:rPr>
            </w:pPr>
            <w:r w:rsidRPr="00220873">
              <w:rPr>
                <w:rFonts w:ascii="Bookman Old Style" w:hAnsi="Bookman Old Style" w:cs="Times New Roman"/>
                <w:sz w:val="24"/>
                <w:szCs w:val="24"/>
              </w:rPr>
              <w:t>FUENTE</w:t>
            </w:r>
          </w:p>
        </w:tc>
        <w:tc>
          <w:tcPr>
            <w:tcW w:w="2112" w:type="dxa"/>
            <w:hideMark/>
          </w:tcPr>
          <w:p w:rsidR="00220873" w:rsidRPr="00220873" w:rsidRDefault="00220873">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PRESUPUESTO APROBADO 2020</w:t>
            </w:r>
          </w:p>
        </w:tc>
        <w:tc>
          <w:tcPr>
            <w:tcW w:w="2676" w:type="dxa"/>
            <w:hideMark/>
          </w:tcPr>
          <w:p w:rsidR="00220873" w:rsidRPr="00220873" w:rsidRDefault="00220873">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REFORMA</w:t>
            </w:r>
          </w:p>
        </w:tc>
        <w:tc>
          <w:tcPr>
            <w:tcW w:w="1497" w:type="dxa"/>
            <w:hideMark/>
          </w:tcPr>
          <w:p w:rsidR="00220873" w:rsidRPr="00220873" w:rsidRDefault="00220873">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NUEVO CODIFICADO</w:t>
            </w:r>
          </w:p>
        </w:tc>
      </w:tr>
      <w:tr w:rsidR="00220873" w:rsidRPr="00220873" w:rsidTr="0022087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69" w:type="dxa"/>
            <w:hideMark/>
          </w:tcPr>
          <w:p w:rsidR="00220873" w:rsidRPr="00220873" w:rsidRDefault="00220873">
            <w:pPr>
              <w:autoSpaceDE w:val="0"/>
              <w:autoSpaceDN w:val="0"/>
              <w:jc w:val="center"/>
              <w:rPr>
                <w:rFonts w:ascii="Bookman Old Style" w:hAnsi="Bookman Old Style" w:cs="Times New Roman"/>
                <w:sz w:val="24"/>
                <w:szCs w:val="24"/>
              </w:rPr>
            </w:pPr>
            <w:r w:rsidRPr="00220873">
              <w:rPr>
                <w:rFonts w:ascii="Bookman Old Style" w:hAnsi="Bookman Old Style" w:cs="Times New Roman"/>
                <w:sz w:val="24"/>
                <w:szCs w:val="24"/>
              </w:rPr>
              <w:t>MDMQ</w:t>
            </w:r>
          </w:p>
        </w:tc>
        <w:tc>
          <w:tcPr>
            <w:tcW w:w="2112"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41.000.000,00</w:t>
            </w:r>
          </w:p>
        </w:tc>
        <w:tc>
          <w:tcPr>
            <w:tcW w:w="2676"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-3.945.766,90</w:t>
            </w:r>
          </w:p>
        </w:tc>
        <w:tc>
          <w:tcPr>
            <w:tcW w:w="1497"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37.054.233,10</w:t>
            </w:r>
          </w:p>
        </w:tc>
      </w:tr>
      <w:tr w:rsidR="00220873" w:rsidRPr="00220873" w:rsidTr="00220873">
        <w:trPr>
          <w:trHeight w:val="305"/>
        </w:trPr>
        <w:tc>
          <w:tcPr>
            <w:cnfStyle w:val="001000000000" w:firstRow="0" w:lastRow="0" w:firstColumn="1" w:lastColumn="0" w:oddVBand="0" w:evenVBand="0" w:oddHBand="0" w:evenHBand="0" w:firstRowFirstColumn="0" w:firstRowLastColumn="0" w:lastRowFirstColumn="0" w:lastRowLastColumn="0"/>
            <w:tcW w:w="2369" w:type="dxa"/>
            <w:hideMark/>
          </w:tcPr>
          <w:p w:rsidR="00220873" w:rsidRPr="00220873" w:rsidRDefault="00220873">
            <w:pPr>
              <w:autoSpaceDE w:val="0"/>
              <w:autoSpaceDN w:val="0"/>
              <w:jc w:val="center"/>
              <w:rPr>
                <w:rFonts w:ascii="Bookman Old Style" w:hAnsi="Bookman Old Style" w:cs="Times New Roman"/>
                <w:sz w:val="24"/>
                <w:szCs w:val="24"/>
              </w:rPr>
            </w:pPr>
            <w:r w:rsidRPr="00220873">
              <w:rPr>
                <w:rFonts w:ascii="Bookman Old Style" w:hAnsi="Bookman Old Style" w:cs="Times New Roman"/>
                <w:sz w:val="24"/>
                <w:szCs w:val="24"/>
              </w:rPr>
              <w:t>AUTOGESTIÓN</w:t>
            </w:r>
          </w:p>
        </w:tc>
        <w:tc>
          <w:tcPr>
            <w:tcW w:w="2112" w:type="dxa"/>
            <w:hideMark/>
          </w:tcPr>
          <w:p w:rsidR="00220873" w:rsidRPr="00220873" w:rsidRDefault="00220873">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53.522.138,42</w:t>
            </w:r>
          </w:p>
        </w:tc>
        <w:tc>
          <w:tcPr>
            <w:tcW w:w="2676" w:type="dxa"/>
            <w:hideMark/>
          </w:tcPr>
          <w:p w:rsidR="00220873" w:rsidRPr="00220873" w:rsidRDefault="00220873">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-24.644.224,53</w:t>
            </w:r>
          </w:p>
        </w:tc>
        <w:tc>
          <w:tcPr>
            <w:tcW w:w="1497" w:type="dxa"/>
            <w:hideMark/>
          </w:tcPr>
          <w:p w:rsidR="00220873" w:rsidRPr="00220873" w:rsidRDefault="00220873">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28.877.913,89</w:t>
            </w:r>
          </w:p>
        </w:tc>
      </w:tr>
      <w:tr w:rsidR="00220873" w:rsidRPr="00220873" w:rsidTr="0022087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69" w:type="dxa"/>
            <w:hideMark/>
          </w:tcPr>
          <w:p w:rsidR="00220873" w:rsidRPr="00220873" w:rsidRDefault="00220873">
            <w:pPr>
              <w:autoSpaceDE w:val="0"/>
              <w:autoSpaceDN w:val="0"/>
              <w:jc w:val="center"/>
              <w:rPr>
                <w:rFonts w:ascii="Bookman Old Style" w:hAnsi="Bookman Old Style" w:cs="Times New Roman"/>
                <w:sz w:val="24"/>
                <w:szCs w:val="24"/>
              </w:rPr>
            </w:pPr>
            <w:r w:rsidRPr="00220873">
              <w:rPr>
                <w:rFonts w:ascii="Bookman Old Style" w:hAnsi="Bookman Old Style" w:cs="Times New Roman"/>
                <w:sz w:val="24"/>
                <w:szCs w:val="24"/>
              </w:rPr>
              <w:t>TOTAL</w:t>
            </w:r>
          </w:p>
        </w:tc>
        <w:tc>
          <w:tcPr>
            <w:tcW w:w="2112"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94.522.138,42</w:t>
            </w:r>
          </w:p>
        </w:tc>
        <w:tc>
          <w:tcPr>
            <w:tcW w:w="2676"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-28.589.991,43</w:t>
            </w:r>
          </w:p>
        </w:tc>
        <w:tc>
          <w:tcPr>
            <w:tcW w:w="1497" w:type="dxa"/>
            <w:hideMark/>
          </w:tcPr>
          <w:p w:rsidR="00220873" w:rsidRPr="00220873" w:rsidRDefault="00220873">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4"/>
                <w:szCs w:val="24"/>
              </w:rPr>
            </w:pPr>
            <w:r w:rsidRPr="00220873">
              <w:rPr>
                <w:rFonts w:ascii="Bookman Old Style" w:hAnsi="Bookman Old Style" w:cs="Times New Roman"/>
                <w:sz w:val="24"/>
                <w:szCs w:val="24"/>
              </w:rPr>
              <w:t>65.932.146,99</w:t>
            </w:r>
          </w:p>
        </w:tc>
      </w:tr>
    </w:tbl>
    <w:p w:rsidR="00CD67F4" w:rsidRPr="00220873" w:rsidRDefault="00CD67F4" w:rsidP="007A567B">
      <w:pPr>
        <w:jc w:val="both"/>
        <w:rPr>
          <w:rFonts w:ascii="Bookman Old Style" w:hAnsi="Bookman Old Style" w:cs="Times New Roman"/>
          <w:sz w:val="24"/>
          <w:szCs w:val="24"/>
        </w:rPr>
      </w:pPr>
    </w:p>
    <w:p w:rsidR="00CD67F4" w:rsidRDefault="00CD67F4" w:rsidP="007A567B">
      <w:pPr>
        <w:jc w:val="both"/>
        <w:rPr>
          <w:rFonts w:ascii="Bookman Old Style" w:hAnsi="Bookman Old Style" w:cs="Times New Roman"/>
          <w:b/>
          <w:sz w:val="24"/>
          <w:szCs w:val="24"/>
        </w:rPr>
      </w:pPr>
    </w:p>
    <w:p w:rsidR="00B52340" w:rsidRPr="00AC1F0E" w:rsidRDefault="00B52340" w:rsidP="007A567B">
      <w:pPr>
        <w:jc w:val="both"/>
        <w:rPr>
          <w:rFonts w:ascii="Bookman Old Style" w:hAnsi="Bookman Old Style" w:cs="Times New Roman"/>
          <w:sz w:val="24"/>
          <w:szCs w:val="24"/>
        </w:rPr>
      </w:pPr>
    </w:p>
    <w:p w:rsidR="00AE405B" w:rsidRPr="00AC1F0E" w:rsidRDefault="004A330D" w:rsidP="004A330D">
      <w:pPr>
        <w:jc w:val="center"/>
        <w:rPr>
          <w:rFonts w:ascii="Bookman Old Style" w:hAnsi="Bookman Old Style" w:cs="Times New Roman"/>
          <w:b/>
          <w:sz w:val="24"/>
          <w:szCs w:val="24"/>
        </w:rPr>
      </w:pPr>
      <w:r w:rsidRPr="00AC1F0E">
        <w:rPr>
          <w:rFonts w:ascii="Bookman Old Style" w:hAnsi="Bookman Old Style" w:cs="Times New Roman"/>
          <w:b/>
          <w:sz w:val="24"/>
          <w:szCs w:val="24"/>
        </w:rPr>
        <w:t>DISPOSICIONES GENERALES</w:t>
      </w:r>
    </w:p>
    <w:p w:rsidR="004A330D" w:rsidRPr="00AC1F0E" w:rsidRDefault="004A330D" w:rsidP="004A330D">
      <w:pPr>
        <w:jc w:val="both"/>
        <w:rPr>
          <w:rFonts w:ascii="Bookman Old Style" w:hAnsi="Bookman Old Style" w:cs="Times New Roman"/>
          <w:b/>
          <w:sz w:val="24"/>
          <w:szCs w:val="24"/>
        </w:rPr>
      </w:pPr>
      <w:r w:rsidRPr="00AC1F0E">
        <w:rPr>
          <w:rFonts w:ascii="Bookman Old Style" w:hAnsi="Bookman Old Style" w:cs="Times New Roman"/>
          <w:b/>
          <w:sz w:val="24"/>
          <w:szCs w:val="24"/>
        </w:rPr>
        <w:lastRenderedPageBreak/>
        <w:t xml:space="preserve">Primera. - </w:t>
      </w:r>
      <w:r w:rsidRPr="00AC1F0E">
        <w:rPr>
          <w:rFonts w:ascii="Bookman Old Style" w:hAnsi="Bookman Old Style" w:cs="Times New Roman"/>
          <w:sz w:val="24"/>
          <w:szCs w:val="24"/>
        </w:rPr>
        <w:t>Encárguese</w:t>
      </w:r>
      <w:r w:rsidR="00EC175A" w:rsidRPr="00AC1F0E">
        <w:rPr>
          <w:rFonts w:ascii="Bookman Old Style" w:hAnsi="Bookman Old Style" w:cs="Times New Roman"/>
          <w:sz w:val="24"/>
          <w:szCs w:val="24"/>
        </w:rPr>
        <w:t xml:space="preserve"> a la Gerencia de Tecnologías de la </w:t>
      </w:r>
      <w:r w:rsidR="002D23BA" w:rsidRPr="00AC1F0E">
        <w:rPr>
          <w:rFonts w:ascii="Bookman Old Style" w:hAnsi="Bookman Old Style" w:cs="Times New Roman"/>
          <w:sz w:val="24"/>
          <w:szCs w:val="24"/>
        </w:rPr>
        <w:t>Información de</w:t>
      </w:r>
      <w:r w:rsidR="00EC175A" w:rsidRPr="00AC1F0E">
        <w:rPr>
          <w:rFonts w:ascii="Bookman Old Style" w:hAnsi="Bookman Old Style" w:cs="Times New Roman"/>
          <w:sz w:val="24"/>
          <w:szCs w:val="24"/>
        </w:rPr>
        <w:t xml:space="preserve"> la EPMTP</w:t>
      </w:r>
      <w:r w:rsidR="0028759D" w:rsidRPr="00AC1F0E">
        <w:rPr>
          <w:rFonts w:ascii="Bookman Old Style" w:hAnsi="Bookman Old Style" w:cs="Times New Roman"/>
          <w:sz w:val="24"/>
          <w:szCs w:val="24"/>
        </w:rPr>
        <w:t>Q</w:t>
      </w:r>
      <w:r w:rsidR="00EC175A" w:rsidRPr="00AC1F0E">
        <w:rPr>
          <w:rFonts w:ascii="Bookman Old Style" w:hAnsi="Bookman Old Style" w:cs="Times New Roman"/>
          <w:sz w:val="24"/>
          <w:szCs w:val="24"/>
        </w:rPr>
        <w:t xml:space="preserve">, la publicación de la presente Resolución en la página web institucional. </w:t>
      </w:r>
    </w:p>
    <w:p w:rsidR="00EC175A" w:rsidRPr="00AC1F0E" w:rsidRDefault="00EC175A" w:rsidP="004A330D">
      <w:pPr>
        <w:jc w:val="both"/>
        <w:rPr>
          <w:rFonts w:ascii="Bookman Old Style" w:hAnsi="Bookman Old Style" w:cs="Times New Roman"/>
          <w:b/>
          <w:sz w:val="24"/>
          <w:szCs w:val="24"/>
        </w:rPr>
      </w:pPr>
      <w:r w:rsidRPr="00AC1F0E">
        <w:rPr>
          <w:rFonts w:ascii="Bookman Old Style" w:hAnsi="Bookman Old Style" w:cs="Times New Roman"/>
          <w:b/>
          <w:sz w:val="24"/>
          <w:szCs w:val="24"/>
        </w:rPr>
        <w:t xml:space="preserve">Segunda. – </w:t>
      </w:r>
      <w:r w:rsidRPr="00AC1F0E">
        <w:rPr>
          <w:rFonts w:ascii="Bookman Old Style" w:hAnsi="Bookman Old Style" w:cs="Times New Roman"/>
          <w:sz w:val="24"/>
          <w:szCs w:val="24"/>
        </w:rPr>
        <w:t>Encárguese a la Gerencia Administrativa y Financiera</w:t>
      </w:r>
      <w:r w:rsidR="00220873">
        <w:rPr>
          <w:rFonts w:ascii="Bookman Old Style" w:hAnsi="Bookman Old Style" w:cs="Times New Roman"/>
          <w:sz w:val="24"/>
          <w:szCs w:val="24"/>
        </w:rPr>
        <w:t xml:space="preserve"> y</w:t>
      </w:r>
      <w:r w:rsidR="00666B66">
        <w:rPr>
          <w:rFonts w:ascii="Bookman Old Style" w:hAnsi="Bookman Old Style" w:cs="Times New Roman"/>
          <w:sz w:val="24"/>
          <w:szCs w:val="24"/>
        </w:rPr>
        <w:t xml:space="preserve"> </w:t>
      </w:r>
      <w:r w:rsidRPr="00AC1F0E">
        <w:rPr>
          <w:rFonts w:ascii="Bookman Old Style" w:hAnsi="Bookman Old Style" w:cs="Times New Roman"/>
          <w:sz w:val="24"/>
          <w:szCs w:val="24"/>
        </w:rPr>
        <w:t>a la</w:t>
      </w:r>
      <w:r w:rsidR="00666B66">
        <w:rPr>
          <w:rFonts w:ascii="Bookman Old Style" w:hAnsi="Bookman Old Style" w:cs="Times New Roman"/>
          <w:sz w:val="24"/>
          <w:szCs w:val="24"/>
        </w:rPr>
        <w:t xml:space="preserve"> Gerencia de Planificación de la </w:t>
      </w:r>
      <w:r w:rsidRPr="00AC1F0E">
        <w:rPr>
          <w:rFonts w:ascii="Bookman Old Style" w:hAnsi="Bookman Old Style" w:cs="Times New Roman"/>
          <w:sz w:val="24"/>
          <w:szCs w:val="24"/>
        </w:rPr>
        <w:t xml:space="preserve">EPMTPQ, la </w:t>
      </w:r>
      <w:r w:rsidR="00666B66">
        <w:rPr>
          <w:rFonts w:ascii="Bookman Old Style" w:hAnsi="Bookman Old Style" w:cs="Times New Roman"/>
          <w:sz w:val="24"/>
          <w:szCs w:val="24"/>
        </w:rPr>
        <w:t xml:space="preserve">ejecución de la presente Resolución. </w:t>
      </w:r>
    </w:p>
    <w:p w:rsidR="00AC1F0E" w:rsidRDefault="00EC175A" w:rsidP="008741F3">
      <w:pPr>
        <w:jc w:val="both"/>
        <w:rPr>
          <w:rFonts w:ascii="Bookman Old Style" w:hAnsi="Bookman Old Style" w:cs="Times New Roman"/>
          <w:sz w:val="24"/>
          <w:szCs w:val="24"/>
        </w:rPr>
      </w:pPr>
      <w:r w:rsidRPr="00AC1F0E">
        <w:rPr>
          <w:rFonts w:ascii="Bookman Old Style" w:hAnsi="Bookman Old Style" w:cs="Times New Roman"/>
          <w:b/>
          <w:sz w:val="24"/>
          <w:szCs w:val="24"/>
        </w:rPr>
        <w:t xml:space="preserve">Tercera. – </w:t>
      </w:r>
      <w:r w:rsidR="002D23BA" w:rsidRPr="00AC1F0E">
        <w:rPr>
          <w:rFonts w:ascii="Bookman Old Style" w:hAnsi="Bookman Old Style" w:cs="Times New Roman"/>
          <w:sz w:val="24"/>
          <w:szCs w:val="24"/>
        </w:rPr>
        <w:t>Encárguese</w:t>
      </w:r>
      <w:r w:rsidRPr="00AC1F0E">
        <w:rPr>
          <w:rFonts w:ascii="Bookman Old Style" w:hAnsi="Bookman Old Style" w:cs="Times New Roman"/>
          <w:sz w:val="24"/>
          <w:szCs w:val="24"/>
        </w:rPr>
        <w:t xml:space="preserve"> a la Secretaría General</w:t>
      </w:r>
      <w:r w:rsidR="002D23BA" w:rsidRPr="00AC1F0E">
        <w:rPr>
          <w:rFonts w:ascii="Bookman Old Style" w:hAnsi="Bookman Old Style" w:cs="Times New Roman"/>
          <w:sz w:val="24"/>
          <w:szCs w:val="24"/>
        </w:rPr>
        <w:t xml:space="preserve"> de la EPMTPQ, la </w:t>
      </w:r>
      <w:r w:rsidR="0028759D" w:rsidRPr="00AC1F0E">
        <w:rPr>
          <w:rFonts w:ascii="Bookman Old Style" w:hAnsi="Bookman Old Style" w:cs="Times New Roman"/>
          <w:sz w:val="24"/>
          <w:szCs w:val="24"/>
        </w:rPr>
        <w:t xml:space="preserve">debida </w:t>
      </w:r>
      <w:r w:rsidR="002D23BA" w:rsidRPr="00AC1F0E">
        <w:rPr>
          <w:rFonts w:ascii="Bookman Old Style" w:hAnsi="Bookman Old Style" w:cs="Times New Roman"/>
          <w:sz w:val="24"/>
          <w:szCs w:val="24"/>
        </w:rPr>
        <w:t xml:space="preserve">socialización del contenido de la presente </w:t>
      </w:r>
      <w:r w:rsidRPr="00AC1F0E">
        <w:rPr>
          <w:rFonts w:ascii="Bookman Old Style" w:hAnsi="Bookman Old Style" w:cs="Times New Roman"/>
          <w:sz w:val="24"/>
          <w:szCs w:val="24"/>
        </w:rPr>
        <w:t>Resolución</w:t>
      </w:r>
      <w:r w:rsidR="002D23BA" w:rsidRPr="00AC1F0E">
        <w:rPr>
          <w:rFonts w:ascii="Bookman Old Style" w:hAnsi="Bookman Old Style" w:cs="Times New Roman"/>
          <w:sz w:val="24"/>
          <w:szCs w:val="24"/>
        </w:rPr>
        <w:t xml:space="preserve">. </w:t>
      </w:r>
    </w:p>
    <w:p w:rsidR="0038632F" w:rsidRPr="00AC1F0E" w:rsidRDefault="0038632F" w:rsidP="004A330D">
      <w:pPr>
        <w:jc w:val="both"/>
        <w:rPr>
          <w:rFonts w:ascii="Bookman Old Style" w:hAnsi="Bookman Old Style" w:cs="Times New Roman"/>
          <w:sz w:val="24"/>
          <w:szCs w:val="24"/>
        </w:rPr>
      </w:pPr>
    </w:p>
    <w:p w:rsidR="004A330D" w:rsidRPr="00AC1F0E" w:rsidRDefault="004A330D" w:rsidP="004A330D">
      <w:pPr>
        <w:jc w:val="center"/>
        <w:rPr>
          <w:rFonts w:ascii="Bookman Old Style" w:hAnsi="Bookman Old Style" w:cs="Times New Roman"/>
          <w:b/>
          <w:sz w:val="24"/>
          <w:szCs w:val="24"/>
        </w:rPr>
      </w:pPr>
      <w:r w:rsidRPr="00AC1F0E">
        <w:rPr>
          <w:rFonts w:ascii="Bookman Old Style" w:hAnsi="Bookman Old Style" w:cs="Times New Roman"/>
          <w:b/>
          <w:sz w:val="24"/>
          <w:szCs w:val="24"/>
        </w:rPr>
        <w:t>DISPOSICIÓN FINAL</w:t>
      </w:r>
    </w:p>
    <w:p w:rsidR="00EC175A" w:rsidRPr="00AC1F0E" w:rsidRDefault="004A330D" w:rsidP="00AE405B">
      <w:pPr>
        <w:jc w:val="both"/>
        <w:rPr>
          <w:rFonts w:ascii="Bookman Old Style" w:hAnsi="Bookman Old Style" w:cs="Times New Roman"/>
          <w:sz w:val="24"/>
          <w:szCs w:val="24"/>
        </w:rPr>
      </w:pPr>
      <w:r w:rsidRPr="00AC1F0E">
        <w:rPr>
          <w:rFonts w:ascii="Bookman Old Style" w:hAnsi="Bookman Old Style" w:cs="Times New Roman"/>
          <w:sz w:val="24"/>
          <w:szCs w:val="24"/>
        </w:rPr>
        <w:t xml:space="preserve">La presente Resolución entrará en vigencia desde su </w:t>
      </w:r>
      <w:r w:rsidR="00AC1F0E" w:rsidRPr="00AC1F0E">
        <w:rPr>
          <w:rFonts w:ascii="Bookman Old Style" w:hAnsi="Bookman Old Style" w:cs="Times New Roman"/>
          <w:sz w:val="24"/>
          <w:szCs w:val="24"/>
        </w:rPr>
        <w:t>otorgamiento.</w:t>
      </w:r>
    </w:p>
    <w:p w:rsidR="004A330D" w:rsidRPr="00AC1F0E" w:rsidRDefault="004A330D" w:rsidP="00AE405B">
      <w:pPr>
        <w:jc w:val="both"/>
        <w:rPr>
          <w:rFonts w:ascii="Bookman Old Style" w:hAnsi="Bookman Old Style" w:cs="Times New Roman"/>
          <w:sz w:val="24"/>
          <w:szCs w:val="24"/>
        </w:rPr>
      </w:pPr>
      <w:r w:rsidRPr="00AC1F0E">
        <w:rPr>
          <w:rFonts w:ascii="Bookman Old Style" w:hAnsi="Bookman Old Style" w:cs="Times New Roman"/>
          <w:sz w:val="24"/>
          <w:szCs w:val="24"/>
        </w:rPr>
        <w:t>Dada en la ciudad de Quito DM, el día</w:t>
      </w:r>
      <w:r w:rsidR="00AB5FA0">
        <w:rPr>
          <w:rFonts w:ascii="Bookman Old Style" w:hAnsi="Bookman Old Style" w:cs="Times New Roman"/>
          <w:sz w:val="24"/>
          <w:szCs w:val="24"/>
        </w:rPr>
        <w:t xml:space="preserve">        </w:t>
      </w:r>
    </w:p>
    <w:p w:rsidR="004A330D" w:rsidRPr="00AC1F0E" w:rsidRDefault="004A330D" w:rsidP="00EC175A">
      <w:pPr>
        <w:spacing w:after="0" w:line="240" w:lineRule="auto"/>
        <w:rPr>
          <w:rFonts w:ascii="Bookman Old Style" w:hAnsi="Bookman Old Style" w:cs="Times New Roman"/>
          <w:sz w:val="24"/>
          <w:szCs w:val="24"/>
        </w:rPr>
      </w:pPr>
    </w:p>
    <w:p w:rsidR="005E0B8A" w:rsidRDefault="005E0B8A" w:rsidP="00EC175A">
      <w:pPr>
        <w:spacing w:after="0" w:line="240" w:lineRule="auto"/>
        <w:rPr>
          <w:rFonts w:ascii="Bookman Old Style" w:hAnsi="Bookman Old Style" w:cs="Times New Roman"/>
          <w:sz w:val="24"/>
          <w:szCs w:val="24"/>
        </w:rPr>
      </w:pPr>
    </w:p>
    <w:p w:rsidR="00AC1F0E" w:rsidRDefault="00AC1F0E" w:rsidP="00EC175A">
      <w:pPr>
        <w:spacing w:after="0" w:line="240" w:lineRule="auto"/>
        <w:rPr>
          <w:rFonts w:ascii="Bookman Old Style" w:hAnsi="Bookman Old Style" w:cs="Times New Roman"/>
          <w:sz w:val="24"/>
          <w:szCs w:val="24"/>
        </w:rPr>
      </w:pPr>
    </w:p>
    <w:p w:rsidR="00AC1F0E" w:rsidRPr="00AC1F0E" w:rsidRDefault="00AC1F0E" w:rsidP="00EC175A">
      <w:pPr>
        <w:spacing w:after="0" w:line="240" w:lineRule="auto"/>
        <w:rPr>
          <w:rFonts w:ascii="Bookman Old Style" w:hAnsi="Bookman Old Style" w:cs="Times New Roman"/>
          <w:sz w:val="24"/>
          <w:szCs w:val="24"/>
        </w:rPr>
      </w:pPr>
    </w:p>
    <w:p w:rsidR="005E0B8A" w:rsidRDefault="005E0B8A" w:rsidP="00EC175A">
      <w:pPr>
        <w:spacing w:after="0" w:line="240" w:lineRule="auto"/>
        <w:rPr>
          <w:rFonts w:ascii="Bookman Old Style" w:hAnsi="Bookman Old Style" w:cs="Times New Roman"/>
          <w:sz w:val="24"/>
          <w:szCs w:val="24"/>
        </w:rPr>
      </w:pPr>
    </w:p>
    <w:p w:rsidR="0038632F" w:rsidRPr="00AC1F0E" w:rsidRDefault="0038632F" w:rsidP="00EC175A">
      <w:pPr>
        <w:spacing w:after="0" w:line="240" w:lineRule="auto"/>
        <w:rPr>
          <w:rFonts w:ascii="Bookman Old Style" w:hAnsi="Bookman Old Style" w:cs="Times New Roman"/>
          <w:sz w:val="24"/>
          <w:szCs w:val="24"/>
        </w:rPr>
      </w:pPr>
    </w:p>
    <w:p w:rsidR="004A330D" w:rsidRPr="00AC1F0E" w:rsidRDefault="00220873" w:rsidP="004A330D">
      <w:pPr>
        <w:spacing w:after="0" w:line="240" w:lineRule="auto"/>
        <w:jc w:val="center"/>
        <w:rPr>
          <w:rFonts w:ascii="Bookman Old Style" w:hAnsi="Bookman Old Style" w:cs="Times New Roman"/>
          <w:sz w:val="24"/>
          <w:szCs w:val="24"/>
        </w:rPr>
      </w:pPr>
      <w:r w:rsidRPr="00220873">
        <w:rPr>
          <w:rFonts w:ascii="Bookman Old Style" w:hAnsi="Bookman Old Style" w:cs="Times New Roman"/>
          <w:sz w:val="24"/>
          <w:szCs w:val="24"/>
        </w:rPr>
        <w:t>Ab. Mónica</w:t>
      </w:r>
      <w:r>
        <w:rPr>
          <w:rFonts w:ascii="Bookman Old Style" w:hAnsi="Bookman Old Style" w:cs="Times New Roman"/>
          <w:sz w:val="24"/>
          <w:szCs w:val="24"/>
        </w:rPr>
        <w:t xml:space="preserve"> Sandoval Campoverde </w:t>
      </w:r>
    </w:p>
    <w:p w:rsidR="004A330D" w:rsidRPr="00AC1F0E" w:rsidRDefault="004A330D" w:rsidP="004A330D">
      <w:pPr>
        <w:spacing w:after="0" w:line="240" w:lineRule="auto"/>
        <w:jc w:val="center"/>
        <w:rPr>
          <w:rFonts w:ascii="Bookman Old Style" w:hAnsi="Bookman Old Style" w:cs="Times New Roman"/>
          <w:b/>
          <w:sz w:val="24"/>
          <w:szCs w:val="24"/>
        </w:rPr>
      </w:pPr>
      <w:r w:rsidRPr="00AC1F0E">
        <w:rPr>
          <w:rFonts w:ascii="Bookman Old Style" w:hAnsi="Bookman Old Style" w:cs="Times New Roman"/>
          <w:b/>
          <w:sz w:val="24"/>
          <w:szCs w:val="24"/>
        </w:rPr>
        <w:t>PRESIDENTA DEL DIRECTORIO (D)</w:t>
      </w:r>
    </w:p>
    <w:p w:rsidR="004A330D" w:rsidRPr="00AC1F0E" w:rsidRDefault="004A330D" w:rsidP="004A330D">
      <w:pPr>
        <w:spacing w:after="0" w:line="240" w:lineRule="auto"/>
        <w:jc w:val="center"/>
        <w:rPr>
          <w:rFonts w:ascii="Bookman Old Style" w:hAnsi="Bookman Old Style" w:cs="Times New Roman"/>
          <w:b/>
          <w:sz w:val="24"/>
          <w:szCs w:val="24"/>
        </w:rPr>
      </w:pPr>
      <w:r w:rsidRPr="00AC1F0E">
        <w:rPr>
          <w:rFonts w:ascii="Bookman Old Style" w:hAnsi="Bookman Old Style" w:cs="Times New Roman"/>
          <w:b/>
          <w:sz w:val="24"/>
          <w:szCs w:val="24"/>
        </w:rPr>
        <w:t>EMPRESA PÚBLICA METROPOLITANA DE TRANSPORTE DE PASAJEROS DE QUITO</w:t>
      </w:r>
    </w:p>
    <w:p w:rsidR="004A330D" w:rsidRPr="00AC1F0E" w:rsidRDefault="004A330D" w:rsidP="004A330D">
      <w:pPr>
        <w:spacing w:after="0" w:line="240" w:lineRule="auto"/>
        <w:jc w:val="center"/>
        <w:rPr>
          <w:rFonts w:ascii="Bookman Old Style" w:hAnsi="Bookman Old Style" w:cs="Times New Roman"/>
          <w:sz w:val="24"/>
          <w:szCs w:val="24"/>
        </w:rPr>
      </w:pPr>
    </w:p>
    <w:p w:rsidR="00AC1F0E" w:rsidRDefault="00AC1F0E" w:rsidP="00AC1F0E">
      <w:pPr>
        <w:spacing w:after="0" w:line="240" w:lineRule="auto"/>
        <w:rPr>
          <w:rFonts w:ascii="Bookman Old Style" w:hAnsi="Bookman Old Style" w:cs="Times New Roman"/>
          <w:sz w:val="24"/>
          <w:szCs w:val="24"/>
        </w:rPr>
      </w:pPr>
    </w:p>
    <w:p w:rsidR="00AC1F0E" w:rsidRDefault="00AC1F0E" w:rsidP="00AC1F0E">
      <w:pPr>
        <w:spacing w:after="0" w:line="240" w:lineRule="auto"/>
        <w:rPr>
          <w:rFonts w:ascii="Bookman Old Style" w:hAnsi="Bookman Old Style" w:cs="Times New Roman"/>
          <w:sz w:val="24"/>
          <w:szCs w:val="24"/>
        </w:rPr>
      </w:pPr>
    </w:p>
    <w:p w:rsidR="0038632F" w:rsidRDefault="0038632F" w:rsidP="00AC1F0E">
      <w:pPr>
        <w:spacing w:after="0" w:line="240" w:lineRule="auto"/>
        <w:rPr>
          <w:rFonts w:ascii="Bookman Old Style" w:hAnsi="Bookman Old Style" w:cs="Times New Roman"/>
          <w:sz w:val="24"/>
          <w:szCs w:val="24"/>
        </w:rPr>
      </w:pPr>
    </w:p>
    <w:p w:rsidR="00AC1F0E" w:rsidRPr="00AC1F0E" w:rsidRDefault="00AC1F0E" w:rsidP="00AC1F0E">
      <w:pPr>
        <w:spacing w:after="0" w:line="240" w:lineRule="auto"/>
        <w:rPr>
          <w:rFonts w:ascii="Bookman Old Style" w:hAnsi="Bookman Old Style" w:cs="Times New Roman"/>
          <w:sz w:val="24"/>
          <w:szCs w:val="24"/>
        </w:rPr>
      </w:pPr>
    </w:p>
    <w:p w:rsidR="005E0B8A" w:rsidRPr="00AC1F0E" w:rsidRDefault="005E0B8A" w:rsidP="004A330D">
      <w:pPr>
        <w:spacing w:after="0" w:line="240" w:lineRule="auto"/>
        <w:jc w:val="center"/>
        <w:rPr>
          <w:rFonts w:ascii="Bookman Old Style" w:hAnsi="Bookman Old Style" w:cs="Times New Roman"/>
          <w:sz w:val="24"/>
          <w:szCs w:val="24"/>
        </w:rPr>
      </w:pPr>
    </w:p>
    <w:p w:rsidR="004A330D" w:rsidRPr="00AC1F0E" w:rsidRDefault="004A330D" w:rsidP="004A330D">
      <w:pPr>
        <w:spacing w:after="0" w:line="240" w:lineRule="auto"/>
        <w:jc w:val="center"/>
        <w:rPr>
          <w:rFonts w:ascii="Bookman Old Style" w:hAnsi="Bookman Old Style" w:cs="Times New Roman"/>
          <w:sz w:val="24"/>
          <w:szCs w:val="24"/>
        </w:rPr>
      </w:pPr>
      <w:r w:rsidRPr="00AC1F0E">
        <w:rPr>
          <w:rFonts w:ascii="Bookman Old Style" w:hAnsi="Bookman Old Style" w:cs="Times New Roman"/>
          <w:sz w:val="24"/>
          <w:szCs w:val="24"/>
        </w:rPr>
        <w:t>Ab. Andrea Flores Andino</w:t>
      </w:r>
    </w:p>
    <w:p w:rsidR="004A330D" w:rsidRPr="00AC1F0E" w:rsidRDefault="004A330D" w:rsidP="004A330D">
      <w:pPr>
        <w:spacing w:after="0" w:line="240" w:lineRule="auto"/>
        <w:jc w:val="center"/>
        <w:rPr>
          <w:rFonts w:ascii="Bookman Old Style" w:hAnsi="Bookman Old Style" w:cs="Times New Roman"/>
          <w:b/>
          <w:sz w:val="24"/>
          <w:szCs w:val="24"/>
        </w:rPr>
      </w:pPr>
      <w:r w:rsidRPr="00AC1F0E">
        <w:rPr>
          <w:rFonts w:ascii="Bookman Old Style" w:hAnsi="Bookman Old Style" w:cs="Times New Roman"/>
          <w:b/>
          <w:sz w:val="24"/>
          <w:szCs w:val="24"/>
        </w:rPr>
        <w:t>SEC</w:t>
      </w:r>
      <w:r w:rsidR="00EC175A" w:rsidRPr="00AC1F0E">
        <w:rPr>
          <w:rFonts w:ascii="Bookman Old Style" w:hAnsi="Bookman Old Style" w:cs="Times New Roman"/>
          <w:b/>
          <w:sz w:val="24"/>
          <w:szCs w:val="24"/>
        </w:rPr>
        <w:t>R</w:t>
      </w:r>
      <w:r w:rsidRPr="00AC1F0E">
        <w:rPr>
          <w:rFonts w:ascii="Bookman Old Style" w:hAnsi="Bookman Old Style" w:cs="Times New Roman"/>
          <w:b/>
          <w:sz w:val="24"/>
          <w:szCs w:val="24"/>
        </w:rPr>
        <w:t>ETARIA DEL DIRECTORIO</w:t>
      </w:r>
    </w:p>
    <w:p w:rsidR="00AC1F0E" w:rsidRDefault="004A330D" w:rsidP="00AC1F0E">
      <w:pPr>
        <w:spacing w:after="0" w:line="240" w:lineRule="auto"/>
        <w:jc w:val="center"/>
        <w:rPr>
          <w:rFonts w:ascii="Bookman Old Style" w:hAnsi="Bookman Old Style" w:cs="Times New Roman"/>
          <w:b/>
          <w:sz w:val="24"/>
          <w:szCs w:val="24"/>
        </w:rPr>
      </w:pPr>
      <w:r w:rsidRPr="00AC1F0E">
        <w:rPr>
          <w:rFonts w:ascii="Bookman Old Style" w:hAnsi="Bookman Old Style" w:cs="Times New Roman"/>
          <w:b/>
          <w:sz w:val="24"/>
          <w:szCs w:val="24"/>
        </w:rPr>
        <w:t>EMPRESA PÚBLICA METROPOLITANA DE T</w:t>
      </w:r>
      <w:r w:rsidR="00AC1F0E" w:rsidRPr="00AC1F0E">
        <w:rPr>
          <w:rFonts w:ascii="Bookman Old Style" w:hAnsi="Bookman Old Style" w:cs="Times New Roman"/>
          <w:b/>
          <w:sz w:val="24"/>
          <w:szCs w:val="24"/>
        </w:rPr>
        <w:t>RANSPORTE DE PASAJEROS DE QUITO</w:t>
      </w:r>
    </w:p>
    <w:p w:rsidR="00AC1F0E" w:rsidRDefault="00AC1F0E" w:rsidP="00AC1F0E">
      <w:pPr>
        <w:spacing w:after="0" w:line="240" w:lineRule="auto"/>
        <w:jc w:val="center"/>
        <w:rPr>
          <w:rFonts w:ascii="Bookman Old Style" w:hAnsi="Bookman Old Style" w:cs="Times New Roman"/>
          <w:b/>
          <w:sz w:val="24"/>
          <w:szCs w:val="24"/>
        </w:rPr>
      </w:pPr>
    </w:p>
    <w:p w:rsidR="00AC1F0E" w:rsidRPr="00AC1F0E" w:rsidRDefault="00AC1F0E" w:rsidP="00AC1F0E">
      <w:pPr>
        <w:spacing w:after="0" w:line="240" w:lineRule="auto"/>
        <w:jc w:val="center"/>
        <w:rPr>
          <w:rFonts w:ascii="Bookman Old Style" w:hAnsi="Bookman Old Style" w:cs="Times New Roman"/>
          <w:b/>
          <w:sz w:val="24"/>
          <w:szCs w:val="24"/>
        </w:rPr>
      </w:pPr>
    </w:p>
    <w:p w:rsidR="00AC1F0E" w:rsidRDefault="00AC1F0E" w:rsidP="00AC1F0E">
      <w:pPr>
        <w:spacing w:after="0" w:line="240" w:lineRule="auto"/>
        <w:jc w:val="center"/>
        <w:rPr>
          <w:rFonts w:ascii="Bookman Old Style" w:hAnsi="Bookman Old Style" w:cs="Times New Roman"/>
          <w:b/>
          <w:sz w:val="24"/>
          <w:szCs w:val="24"/>
        </w:rPr>
      </w:pPr>
    </w:p>
    <w:p w:rsidR="00B52340" w:rsidRPr="00AC1F0E" w:rsidRDefault="00B52340" w:rsidP="00AC1F0E">
      <w:pPr>
        <w:spacing w:after="0" w:line="240" w:lineRule="auto"/>
        <w:jc w:val="center"/>
        <w:rPr>
          <w:rFonts w:ascii="Bookman Old Style" w:hAnsi="Bookman Old Style" w:cs="Times New Roman"/>
          <w:b/>
          <w:sz w:val="24"/>
          <w:szCs w:val="24"/>
        </w:rPr>
      </w:pPr>
    </w:p>
    <w:tbl>
      <w:tblPr>
        <w:tblStyle w:val="Tablaconcuadrcula"/>
        <w:tblW w:w="0" w:type="auto"/>
        <w:tblLook w:val="04A0" w:firstRow="1" w:lastRow="0" w:firstColumn="1" w:lastColumn="0" w:noHBand="0" w:noVBand="1"/>
      </w:tblPr>
      <w:tblGrid>
        <w:gridCol w:w="2123"/>
        <w:gridCol w:w="2123"/>
        <w:gridCol w:w="2124"/>
        <w:gridCol w:w="2124"/>
      </w:tblGrid>
      <w:tr w:rsidR="003E0C52" w:rsidRPr="00AC1F0E" w:rsidTr="003E0C52">
        <w:tc>
          <w:tcPr>
            <w:tcW w:w="2123"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Acción</w:t>
            </w:r>
          </w:p>
        </w:tc>
        <w:tc>
          <w:tcPr>
            <w:tcW w:w="2123" w:type="dxa"/>
          </w:tcPr>
          <w:p w:rsidR="003E0C52" w:rsidRPr="00B52340" w:rsidRDefault="007A567B" w:rsidP="00AE405B">
            <w:pPr>
              <w:jc w:val="both"/>
              <w:rPr>
                <w:rFonts w:ascii="Bookman Old Style" w:hAnsi="Bookman Old Style" w:cs="Times New Roman"/>
                <w:sz w:val="20"/>
                <w:szCs w:val="20"/>
              </w:rPr>
            </w:pPr>
            <w:r w:rsidRPr="00B52340">
              <w:rPr>
                <w:rFonts w:ascii="Bookman Old Style" w:hAnsi="Bookman Old Style" w:cs="Times New Roman"/>
                <w:sz w:val="20"/>
                <w:szCs w:val="20"/>
              </w:rPr>
              <w:t>Responsable</w:t>
            </w:r>
          </w:p>
        </w:tc>
        <w:tc>
          <w:tcPr>
            <w:tcW w:w="2124"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Sig</w:t>
            </w:r>
            <w:r w:rsidR="002D23BA" w:rsidRPr="00B52340">
              <w:rPr>
                <w:rFonts w:ascii="Bookman Old Style" w:hAnsi="Bookman Old Style" w:cs="Times New Roman"/>
                <w:sz w:val="20"/>
                <w:szCs w:val="20"/>
              </w:rPr>
              <w:t>l</w:t>
            </w:r>
            <w:r w:rsidRPr="00B52340">
              <w:rPr>
                <w:rFonts w:ascii="Bookman Old Style" w:hAnsi="Bookman Old Style" w:cs="Times New Roman"/>
                <w:sz w:val="20"/>
                <w:szCs w:val="20"/>
              </w:rPr>
              <w:t>a Unidad</w:t>
            </w:r>
          </w:p>
        </w:tc>
        <w:tc>
          <w:tcPr>
            <w:tcW w:w="2124"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Sumilla</w:t>
            </w:r>
          </w:p>
        </w:tc>
      </w:tr>
      <w:tr w:rsidR="003E0C52" w:rsidRPr="00AC1F0E" w:rsidTr="003E0C52">
        <w:tc>
          <w:tcPr>
            <w:tcW w:w="2123"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Elaborado por:</w:t>
            </w:r>
          </w:p>
        </w:tc>
        <w:tc>
          <w:tcPr>
            <w:tcW w:w="2123"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Natalya Mejía</w:t>
            </w:r>
          </w:p>
        </w:tc>
        <w:tc>
          <w:tcPr>
            <w:tcW w:w="2124" w:type="dxa"/>
          </w:tcPr>
          <w:p w:rsidR="003E0C52" w:rsidRPr="00B52340" w:rsidRDefault="003E0C52" w:rsidP="00AE405B">
            <w:pPr>
              <w:jc w:val="both"/>
              <w:rPr>
                <w:rFonts w:ascii="Bookman Old Style" w:hAnsi="Bookman Old Style" w:cs="Times New Roman"/>
                <w:sz w:val="20"/>
                <w:szCs w:val="20"/>
              </w:rPr>
            </w:pPr>
            <w:r w:rsidRPr="00B52340">
              <w:rPr>
                <w:rFonts w:ascii="Bookman Old Style" w:hAnsi="Bookman Old Style" w:cs="Times New Roman"/>
                <w:sz w:val="20"/>
                <w:szCs w:val="20"/>
              </w:rPr>
              <w:t>S.G</w:t>
            </w:r>
            <w:r w:rsidR="002D23BA" w:rsidRPr="00B52340">
              <w:rPr>
                <w:rFonts w:ascii="Bookman Old Style" w:hAnsi="Bookman Old Style" w:cs="Times New Roman"/>
                <w:sz w:val="20"/>
                <w:szCs w:val="20"/>
              </w:rPr>
              <w:t>.</w:t>
            </w:r>
          </w:p>
        </w:tc>
        <w:tc>
          <w:tcPr>
            <w:tcW w:w="2124" w:type="dxa"/>
          </w:tcPr>
          <w:p w:rsidR="003E0C52" w:rsidRPr="00B52340" w:rsidRDefault="003E0C52" w:rsidP="00AE405B">
            <w:pPr>
              <w:jc w:val="both"/>
              <w:rPr>
                <w:rFonts w:ascii="Bookman Old Style" w:hAnsi="Bookman Old Style" w:cs="Times New Roman"/>
                <w:sz w:val="20"/>
                <w:szCs w:val="20"/>
              </w:rPr>
            </w:pPr>
          </w:p>
        </w:tc>
      </w:tr>
    </w:tbl>
    <w:p w:rsidR="00C2317B" w:rsidRPr="00AC1F0E" w:rsidRDefault="00C2317B" w:rsidP="00C2317B">
      <w:pPr>
        <w:jc w:val="both"/>
        <w:rPr>
          <w:rFonts w:ascii="Bookman Old Style" w:hAnsi="Bookman Old Style" w:cs="Times New Roman"/>
          <w:sz w:val="24"/>
          <w:szCs w:val="24"/>
        </w:rPr>
      </w:pPr>
    </w:p>
    <w:sectPr w:rsidR="00C2317B" w:rsidRPr="00AC1F0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88" w:rsidRDefault="00B26088" w:rsidP="00664349">
      <w:pPr>
        <w:spacing w:after="0" w:line="240" w:lineRule="auto"/>
      </w:pPr>
      <w:r>
        <w:separator/>
      </w:r>
    </w:p>
  </w:endnote>
  <w:endnote w:type="continuationSeparator" w:id="0">
    <w:p w:rsidR="00B26088" w:rsidRDefault="00B26088" w:rsidP="0066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21077"/>
      <w:docPartObj>
        <w:docPartGallery w:val="Page Numbers (Bottom of Page)"/>
        <w:docPartUnique/>
      </w:docPartObj>
    </w:sdtPr>
    <w:sdtEndPr/>
    <w:sdtContent>
      <w:p w:rsidR="00664349" w:rsidRDefault="00664349">
        <w:pPr>
          <w:pStyle w:val="Piedepgina"/>
          <w:jc w:val="right"/>
        </w:pPr>
        <w:r>
          <w:fldChar w:fldCharType="begin"/>
        </w:r>
        <w:r>
          <w:instrText>PAGE   \* MERGEFORMAT</w:instrText>
        </w:r>
        <w:r>
          <w:fldChar w:fldCharType="separate"/>
        </w:r>
        <w:r w:rsidR="00B90EC4">
          <w:rPr>
            <w:noProof/>
          </w:rPr>
          <w:t>4</w:t>
        </w:r>
        <w:r>
          <w:fldChar w:fldCharType="end"/>
        </w:r>
      </w:p>
    </w:sdtContent>
  </w:sdt>
  <w:p w:rsidR="00664349" w:rsidRDefault="006643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88" w:rsidRDefault="00B26088" w:rsidP="00664349">
      <w:pPr>
        <w:spacing w:after="0" w:line="240" w:lineRule="auto"/>
      </w:pPr>
      <w:r>
        <w:separator/>
      </w:r>
    </w:p>
  </w:footnote>
  <w:footnote w:type="continuationSeparator" w:id="0">
    <w:p w:rsidR="00B26088" w:rsidRDefault="00B26088" w:rsidP="00664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534"/>
    <w:multiLevelType w:val="hybridMultilevel"/>
    <w:tmpl w:val="356036AC"/>
    <w:lvl w:ilvl="0" w:tplc="CA3E4116">
      <w:start w:val="1"/>
      <w:numFmt w:val="bullet"/>
      <w:lvlText w:val=""/>
      <w:lvlJc w:val="left"/>
      <w:pPr>
        <w:tabs>
          <w:tab w:val="num" w:pos="720"/>
        </w:tabs>
        <w:ind w:left="720" w:hanging="360"/>
      </w:pPr>
      <w:rPr>
        <w:rFonts w:ascii="Wingdings" w:hAnsi="Wingdings" w:hint="default"/>
      </w:rPr>
    </w:lvl>
    <w:lvl w:ilvl="1" w:tplc="5238A3FE">
      <w:numFmt w:val="bullet"/>
      <w:lvlText w:val=""/>
      <w:lvlJc w:val="left"/>
      <w:pPr>
        <w:tabs>
          <w:tab w:val="num" w:pos="1440"/>
        </w:tabs>
        <w:ind w:left="1440" w:hanging="360"/>
      </w:pPr>
      <w:rPr>
        <w:rFonts w:ascii="Wingdings" w:hAnsi="Wingdings" w:hint="default"/>
      </w:rPr>
    </w:lvl>
    <w:lvl w:ilvl="2" w:tplc="B8703008" w:tentative="1">
      <w:start w:val="1"/>
      <w:numFmt w:val="bullet"/>
      <w:lvlText w:val=""/>
      <w:lvlJc w:val="left"/>
      <w:pPr>
        <w:tabs>
          <w:tab w:val="num" w:pos="2160"/>
        </w:tabs>
        <w:ind w:left="2160" w:hanging="360"/>
      </w:pPr>
      <w:rPr>
        <w:rFonts w:ascii="Wingdings" w:hAnsi="Wingdings" w:hint="default"/>
      </w:rPr>
    </w:lvl>
    <w:lvl w:ilvl="3" w:tplc="F25EC5EC" w:tentative="1">
      <w:start w:val="1"/>
      <w:numFmt w:val="bullet"/>
      <w:lvlText w:val=""/>
      <w:lvlJc w:val="left"/>
      <w:pPr>
        <w:tabs>
          <w:tab w:val="num" w:pos="2880"/>
        </w:tabs>
        <w:ind w:left="2880" w:hanging="360"/>
      </w:pPr>
      <w:rPr>
        <w:rFonts w:ascii="Wingdings" w:hAnsi="Wingdings" w:hint="default"/>
      </w:rPr>
    </w:lvl>
    <w:lvl w:ilvl="4" w:tplc="62362564" w:tentative="1">
      <w:start w:val="1"/>
      <w:numFmt w:val="bullet"/>
      <w:lvlText w:val=""/>
      <w:lvlJc w:val="left"/>
      <w:pPr>
        <w:tabs>
          <w:tab w:val="num" w:pos="3600"/>
        </w:tabs>
        <w:ind w:left="3600" w:hanging="360"/>
      </w:pPr>
      <w:rPr>
        <w:rFonts w:ascii="Wingdings" w:hAnsi="Wingdings" w:hint="default"/>
      </w:rPr>
    </w:lvl>
    <w:lvl w:ilvl="5" w:tplc="BAEC8212" w:tentative="1">
      <w:start w:val="1"/>
      <w:numFmt w:val="bullet"/>
      <w:lvlText w:val=""/>
      <w:lvlJc w:val="left"/>
      <w:pPr>
        <w:tabs>
          <w:tab w:val="num" w:pos="4320"/>
        </w:tabs>
        <w:ind w:left="4320" w:hanging="360"/>
      </w:pPr>
      <w:rPr>
        <w:rFonts w:ascii="Wingdings" w:hAnsi="Wingdings" w:hint="default"/>
      </w:rPr>
    </w:lvl>
    <w:lvl w:ilvl="6" w:tplc="59E07448" w:tentative="1">
      <w:start w:val="1"/>
      <w:numFmt w:val="bullet"/>
      <w:lvlText w:val=""/>
      <w:lvlJc w:val="left"/>
      <w:pPr>
        <w:tabs>
          <w:tab w:val="num" w:pos="5040"/>
        </w:tabs>
        <w:ind w:left="5040" w:hanging="360"/>
      </w:pPr>
      <w:rPr>
        <w:rFonts w:ascii="Wingdings" w:hAnsi="Wingdings" w:hint="default"/>
      </w:rPr>
    </w:lvl>
    <w:lvl w:ilvl="7" w:tplc="6584136E" w:tentative="1">
      <w:start w:val="1"/>
      <w:numFmt w:val="bullet"/>
      <w:lvlText w:val=""/>
      <w:lvlJc w:val="left"/>
      <w:pPr>
        <w:tabs>
          <w:tab w:val="num" w:pos="5760"/>
        </w:tabs>
        <w:ind w:left="5760" w:hanging="360"/>
      </w:pPr>
      <w:rPr>
        <w:rFonts w:ascii="Wingdings" w:hAnsi="Wingdings" w:hint="default"/>
      </w:rPr>
    </w:lvl>
    <w:lvl w:ilvl="8" w:tplc="DB7EEC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62D1F"/>
    <w:multiLevelType w:val="hybridMultilevel"/>
    <w:tmpl w:val="EBF6BE5E"/>
    <w:lvl w:ilvl="0" w:tplc="6C36D5C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618D2DF5"/>
    <w:multiLevelType w:val="multilevel"/>
    <w:tmpl w:val="80A82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7B"/>
    <w:rsid w:val="000835FF"/>
    <w:rsid w:val="000D72FD"/>
    <w:rsid w:val="000F19E6"/>
    <w:rsid w:val="000F4CD0"/>
    <w:rsid w:val="00103230"/>
    <w:rsid w:val="001265A6"/>
    <w:rsid w:val="001872AF"/>
    <w:rsid w:val="001A7118"/>
    <w:rsid w:val="001F140C"/>
    <w:rsid w:val="001F5261"/>
    <w:rsid w:val="00203D3D"/>
    <w:rsid w:val="00220873"/>
    <w:rsid w:val="00224763"/>
    <w:rsid w:val="0028759D"/>
    <w:rsid w:val="0028762D"/>
    <w:rsid w:val="002C0736"/>
    <w:rsid w:val="002C5C5A"/>
    <w:rsid w:val="002D23BA"/>
    <w:rsid w:val="002D5ADC"/>
    <w:rsid w:val="0038632F"/>
    <w:rsid w:val="003B0869"/>
    <w:rsid w:val="003D484A"/>
    <w:rsid w:val="003E0C52"/>
    <w:rsid w:val="003F49D8"/>
    <w:rsid w:val="00403F4C"/>
    <w:rsid w:val="0041728A"/>
    <w:rsid w:val="004521DD"/>
    <w:rsid w:val="004613F3"/>
    <w:rsid w:val="004A3248"/>
    <w:rsid w:val="004A330D"/>
    <w:rsid w:val="004D28F6"/>
    <w:rsid w:val="00540E68"/>
    <w:rsid w:val="005A6065"/>
    <w:rsid w:val="005D693A"/>
    <w:rsid w:val="005E0B8A"/>
    <w:rsid w:val="0064186B"/>
    <w:rsid w:val="00656476"/>
    <w:rsid w:val="00664349"/>
    <w:rsid w:val="00666B66"/>
    <w:rsid w:val="006B43EB"/>
    <w:rsid w:val="00736C49"/>
    <w:rsid w:val="007526EA"/>
    <w:rsid w:val="007A349A"/>
    <w:rsid w:val="007A567B"/>
    <w:rsid w:val="00817867"/>
    <w:rsid w:val="0086402E"/>
    <w:rsid w:val="008741F3"/>
    <w:rsid w:val="008C6CE6"/>
    <w:rsid w:val="008E267C"/>
    <w:rsid w:val="00907311"/>
    <w:rsid w:val="00944191"/>
    <w:rsid w:val="00946F76"/>
    <w:rsid w:val="009978A5"/>
    <w:rsid w:val="009C757B"/>
    <w:rsid w:val="00A02E76"/>
    <w:rsid w:val="00A17911"/>
    <w:rsid w:val="00A34F48"/>
    <w:rsid w:val="00A42C5E"/>
    <w:rsid w:val="00AB5FA0"/>
    <w:rsid w:val="00AC1F0E"/>
    <w:rsid w:val="00AE0D87"/>
    <w:rsid w:val="00AE405B"/>
    <w:rsid w:val="00B01EAC"/>
    <w:rsid w:val="00B14BBF"/>
    <w:rsid w:val="00B26088"/>
    <w:rsid w:val="00B3218F"/>
    <w:rsid w:val="00B52340"/>
    <w:rsid w:val="00B83AC6"/>
    <w:rsid w:val="00B90EC4"/>
    <w:rsid w:val="00B96BB7"/>
    <w:rsid w:val="00BD2411"/>
    <w:rsid w:val="00BE4EF5"/>
    <w:rsid w:val="00C172B7"/>
    <w:rsid w:val="00C2317B"/>
    <w:rsid w:val="00C65829"/>
    <w:rsid w:val="00C82980"/>
    <w:rsid w:val="00CD67F4"/>
    <w:rsid w:val="00D01E3B"/>
    <w:rsid w:val="00D40B66"/>
    <w:rsid w:val="00D948C0"/>
    <w:rsid w:val="00D97CD0"/>
    <w:rsid w:val="00DC03FA"/>
    <w:rsid w:val="00DE267A"/>
    <w:rsid w:val="00DF16CB"/>
    <w:rsid w:val="00E34E53"/>
    <w:rsid w:val="00E463DF"/>
    <w:rsid w:val="00EC175A"/>
    <w:rsid w:val="00F13FD7"/>
    <w:rsid w:val="00F430C2"/>
    <w:rsid w:val="00F44507"/>
    <w:rsid w:val="00F901FF"/>
    <w:rsid w:val="00F93E27"/>
    <w:rsid w:val="00FD1ED8"/>
    <w:rsid w:val="00FE28F6"/>
    <w:rsid w:val="00FF67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804"/>
  <w15:chartTrackingRefBased/>
  <w15:docId w15:val="{42D5C445-DEB6-435B-8D2C-7F68405A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05B"/>
    <w:pPr>
      <w:ind w:left="720"/>
      <w:contextualSpacing/>
    </w:pPr>
    <w:rPr>
      <w:lang w:val="es-EC"/>
    </w:rPr>
  </w:style>
  <w:style w:type="table" w:styleId="Tablaconcuadrcula">
    <w:name w:val="Table Grid"/>
    <w:basedOn w:val="Tablanormal"/>
    <w:uiPriority w:val="39"/>
    <w:rsid w:val="003E0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43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4349"/>
  </w:style>
  <w:style w:type="paragraph" w:styleId="Piedepgina">
    <w:name w:val="footer"/>
    <w:basedOn w:val="Normal"/>
    <w:link w:val="PiedepginaCar"/>
    <w:uiPriority w:val="99"/>
    <w:unhideWhenUsed/>
    <w:rsid w:val="006643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4349"/>
  </w:style>
  <w:style w:type="paragraph" w:styleId="Textodeglobo">
    <w:name w:val="Balloon Text"/>
    <w:basedOn w:val="Normal"/>
    <w:link w:val="TextodegloboCar"/>
    <w:uiPriority w:val="99"/>
    <w:semiHidden/>
    <w:unhideWhenUsed/>
    <w:rsid w:val="007A56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67B"/>
    <w:rPr>
      <w:rFonts w:ascii="Segoe UI" w:hAnsi="Segoe UI" w:cs="Segoe UI"/>
      <w:sz w:val="18"/>
      <w:szCs w:val="18"/>
    </w:rPr>
  </w:style>
  <w:style w:type="table" w:styleId="Tablanormal1">
    <w:name w:val="Plain Table 1"/>
    <w:basedOn w:val="Tablanormal"/>
    <w:uiPriority w:val="41"/>
    <w:rsid w:val="00B52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B52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B52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523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523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B523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ighlight">
    <w:name w:val="highlight"/>
    <w:basedOn w:val="Fuentedeprrafopredeter"/>
    <w:rsid w:val="002C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5560">
      <w:bodyDiv w:val="1"/>
      <w:marLeft w:val="0"/>
      <w:marRight w:val="0"/>
      <w:marTop w:val="0"/>
      <w:marBottom w:val="0"/>
      <w:divBdr>
        <w:top w:val="none" w:sz="0" w:space="0" w:color="auto"/>
        <w:left w:val="none" w:sz="0" w:space="0" w:color="auto"/>
        <w:bottom w:val="none" w:sz="0" w:space="0" w:color="auto"/>
        <w:right w:val="none" w:sz="0" w:space="0" w:color="auto"/>
      </w:divBdr>
    </w:div>
    <w:div w:id="72818368">
      <w:bodyDiv w:val="1"/>
      <w:marLeft w:val="0"/>
      <w:marRight w:val="0"/>
      <w:marTop w:val="0"/>
      <w:marBottom w:val="0"/>
      <w:divBdr>
        <w:top w:val="none" w:sz="0" w:space="0" w:color="auto"/>
        <w:left w:val="none" w:sz="0" w:space="0" w:color="auto"/>
        <w:bottom w:val="none" w:sz="0" w:space="0" w:color="auto"/>
        <w:right w:val="none" w:sz="0" w:space="0" w:color="auto"/>
      </w:divBdr>
    </w:div>
    <w:div w:id="122699691">
      <w:bodyDiv w:val="1"/>
      <w:marLeft w:val="0"/>
      <w:marRight w:val="0"/>
      <w:marTop w:val="0"/>
      <w:marBottom w:val="0"/>
      <w:divBdr>
        <w:top w:val="none" w:sz="0" w:space="0" w:color="auto"/>
        <w:left w:val="none" w:sz="0" w:space="0" w:color="auto"/>
        <w:bottom w:val="none" w:sz="0" w:space="0" w:color="auto"/>
        <w:right w:val="none" w:sz="0" w:space="0" w:color="auto"/>
      </w:divBdr>
    </w:div>
    <w:div w:id="135725533">
      <w:bodyDiv w:val="1"/>
      <w:marLeft w:val="0"/>
      <w:marRight w:val="0"/>
      <w:marTop w:val="0"/>
      <w:marBottom w:val="0"/>
      <w:divBdr>
        <w:top w:val="none" w:sz="0" w:space="0" w:color="auto"/>
        <w:left w:val="none" w:sz="0" w:space="0" w:color="auto"/>
        <w:bottom w:val="none" w:sz="0" w:space="0" w:color="auto"/>
        <w:right w:val="none" w:sz="0" w:space="0" w:color="auto"/>
      </w:divBdr>
    </w:div>
    <w:div w:id="410128280">
      <w:bodyDiv w:val="1"/>
      <w:marLeft w:val="0"/>
      <w:marRight w:val="0"/>
      <w:marTop w:val="0"/>
      <w:marBottom w:val="0"/>
      <w:divBdr>
        <w:top w:val="none" w:sz="0" w:space="0" w:color="auto"/>
        <w:left w:val="none" w:sz="0" w:space="0" w:color="auto"/>
        <w:bottom w:val="none" w:sz="0" w:space="0" w:color="auto"/>
        <w:right w:val="none" w:sz="0" w:space="0" w:color="auto"/>
      </w:divBdr>
      <w:divsChild>
        <w:div w:id="1424033903">
          <w:marLeft w:val="1166"/>
          <w:marRight w:val="0"/>
          <w:marTop w:val="0"/>
          <w:marBottom w:val="0"/>
          <w:divBdr>
            <w:top w:val="none" w:sz="0" w:space="0" w:color="auto"/>
            <w:left w:val="none" w:sz="0" w:space="0" w:color="auto"/>
            <w:bottom w:val="none" w:sz="0" w:space="0" w:color="auto"/>
            <w:right w:val="none" w:sz="0" w:space="0" w:color="auto"/>
          </w:divBdr>
        </w:div>
        <w:div w:id="1571430450">
          <w:marLeft w:val="446"/>
          <w:marRight w:val="0"/>
          <w:marTop w:val="0"/>
          <w:marBottom w:val="0"/>
          <w:divBdr>
            <w:top w:val="none" w:sz="0" w:space="0" w:color="auto"/>
            <w:left w:val="none" w:sz="0" w:space="0" w:color="auto"/>
            <w:bottom w:val="none" w:sz="0" w:space="0" w:color="auto"/>
            <w:right w:val="none" w:sz="0" w:space="0" w:color="auto"/>
          </w:divBdr>
        </w:div>
      </w:divsChild>
    </w:div>
    <w:div w:id="494689890">
      <w:bodyDiv w:val="1"/>
      <w:marLeft w:val="0"/>
      <w:marRight w:val="0"/>
      <w:marTop w:val="0"/>
      <w:marBottom w:val="0"/>
      <w:divBdr>
        <w:top w:val="none" w:sz="0" w:space="0" w:color="auto"/>
        <w:left w:val="none" w:sz="0" w:space="0" w:color="auto"/>
        <w:bottom w:val="none" w:sz="0" w:space="0" w:color="auto"/>
        <w:right w:val="none" w:sz="0" w:space="0" w:color="auto"/>
      </w:divBdr>
    </w:div>
    <w:div w:id="15127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BA7F-DDD3-4656-801A-D941FA2C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Lizbeth Mejía Morejón</dc:creator>
  <cp:keywords/>
  <dc:description/>
  <cp:lastModifiedBy>Natalya Lizbeth Mejía Morejón</cp:lastModifiedBy>
  <cp:revision>7</cp:revision>
  <cp:lastPrinted>2020-09-23T18:36:00Z</cp:lastPrinted>
  <dcterms:created xsi:type="dcterms:W3CDTF">2020-11-23T14:39:00Z</dcterms:created>
  <dcterms:modified xsi:type="dcterms:W3CDTF">2020-11-30T21:17:00Z</dcterms:modified>
</cp:coreProperties>
</file>